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217A" w14:textId="77777777" w:rsidR="00930462" w:rsidRDefault="00930462"/>
    <w:tbl>
      <w:tblPr>
        <w:tblStyle w:val="Grigliatabella"/>
        <w:tblW w:w="15735" w:type="dxa"/>
        <w:tblInd w:w="-714" w:type="dxa"/>
        <w:tblLook w:val="04A0" w:firstRow="1" w:lastRow="0" w:firstColumn="1" w:lastColumn="0" w:noHBand="0" w:noVBand="1"/>
      </w:tblPr>
      <w:tblGrid>
        <w:gridCol w:w="1276"/>
        <w:gridCol w:w="2977"/>
        <w:gridCol w:w="2268"/>
        <w:gridCol w:w="1651"/>
        <w:gridCol w:w="1465"/>
        <w:gridCol w:w="1340"/>
        <w:gridCol w:w="1687"/>
        <w:gridCol w:w="2002"/>
        <w:gridCol w:w="1069"/>
      </w:tblGrid>
      <w:tr w:rsidR="003210A8" w:rsidRPr="007D455C" w14:paraId="10AC3E95" w14:textId="35491D7A" w:rsidTr="00A219C1">
        <w:trPr>
          <w:trHeight w:val="392"/>
        </w:trPr>
        <w:tc>
          <w:tcPr>
            <w:tcW w:w="1276" w:type="dxa"/>
            <w:vMerge w:val="restart"/>
            <w:shd w:val="clear" w:color="auto" w:fill="F2F2F2" w:themeFill="background1" w:themeFillShade="F2"/>
          </w:tcPr>
          <w:p w14:paraId="6E1C7B6E" w14:textId="5167E862" w:rsidR="003210A8" w:rsidRPr="007D455C" w:rsidRDefault="003210A8" w:rsidP="007E3812">
            <w:pPr>
              <w:jc w:val="center"/>
              <w:rPr>
                <w:rFonts w:ascii="Times New Roman" w:hAnsi="Times New Roman" w:cs="Times New Roman"/>
                <w:b/>
                <w:bCs/>
                <w:sz w:val="20"/>
                <w:szCs w:val="20"/>
              </w:rPr>
            </w:pPr>
            <w:r w:rsidRPr="000C7D63">
              <w:rPr>
                <w:rFonts w:ascii="Times New Roman" w:hAnsi="Times New Roman" w:cs="Times New Roman"/>
                <w:b/>
                <w:bCs/>
                <w:sz w:val="20"/>
                <w:szCs w:val="20"/>
              </w:rPr>
              <w:t>ID</w:t>
            </w:r>
          </w:p>
        </w:tc>
        <w:tc>
          <w:tcPr>
            <w:tcW w:w="5245" w:type="dxa"/>
            <w:gridSpan w:val="2"/>
            <w:shd w:val="clear" w:color="auto" w:fill="A6A6A6" w:themeFill="background1" w:themeFillShade="A6"/>
          </w:tcPr>
          <w:p w14:paraId="07CED2D7" w14:textId="2B22331A" w:rsidR="003210A8" w:rsidRPr="007D455C" w:rsidRDefault="003210A8" w:rsidP="00254265">
            <w:pPr>
              <w:jc w:val="center"/>
              <w:rPr>
                <w:rFonts w:ascii="Times New Roman" w:hAnsi="Times New Roman" w:cs="Times New Roman"/>
                <w:b/>
                <w:bCs/>
                <w:sz w:val="20"/>
                <w:szCs w:val="20"/>
              </w:rPr>
            </w:pPr>
            <w:r>
              <w:rPr>
                <w:rFonts w:ascii="Times New Roman" w:hAnsi="Times New Roman" w:cs="Times New Roman"/>
                <w:b/>
                <w:bCs/>
                <w:sz w:val="20"/>
                <w:szCs w:val="20"/>
              </w:rPr>
              <w:t xml:space="preserve">MISURE di cui all’art. 26 comma 2 del </w:t>
            </w:r>
            <w:proofErr w:type="spellStart"/>
            <w:r>
              <w:rPr>
                <w:rFonts w:ascii="Times New Roman" w:hAnsi="Times New Roman" w:cs="Times New Roman"/>
                <w:b/>
                <w:bCs/>
                <w:sz w:val="20"/>
                <w:szCs w:val="20"/>
              </w:rPr>
              <w:t>D.Lgs.</w:t>
            </w:r>
            <w:proofErr w:type="spellEnd"/>
            <w:r>
              <w:rPr>
                <w:rFonts w:ascii="Times New Roman" w:hAnsi="Times New Roman" w:cs="Times New Roman"/>
                <w:b/>
                <w:bCs/>
                <w:sz w:val="20"/>
                <w:szCs w:val="20"/>
              </w:rPr>
              <w:t xml:space="preserve"> 50/2019 </w:t>
            </w:r>
          </w:p>
        </w:tc>
        <w:tc>
          <w:tcPr>
            <w:tcW w:w="1651" w:type="dxa"/>
            <w:shd w:val="clear" w:color="auto" w:fill="F2F2F2" w:themeFill="background1" w:themeFillShade="F2"/>
          </w:tcPr>
          <w:p w14:paraId="723F3DEC" w14:textId="58EC99A2" w:rsidR="003210A8" w:rsidRPr="007D455C" w:rsidRDefault="003210A8" w:rsidP="00254265">
            <w:pPr>
              <w:jc w:val="center"/>
              <w:rPr>
                <w:rFonts w:ascii="Times New Roman" w:hAnsi="Times New Roman" w:cs="Times New Roman"/>
                <w:b/>
                <w:bCs/>
                <w:sz w:val="20"/>
                <w:szCs w:val="20"/>
              </w:rPr>
            </w:pPr>
            <w:r w:rsidRPr="007D455C">
              <w:rPr>
                <w:rFonts w:ascii="Times New Roman" w:hAnsi="Times New Roman" w:cs="Times New Roman"/>
                <w:b/>
                <w:bCs/>
                <w:sz w:val="20"/>
                <w:szCs w:val="20"/>
              </w:rPr>
              <w:t>II</w:t>
            </w:r>
          </w:p>
        </w:tc>
        <w:tc>
          <w:tcPr>
            <w:tcW w:w="1465" w:type="dxa"/>
            <w:shd w:val="clear" w:color="auto" w:fill="F2F2F2" w:themeFill="background1" w:themeFillShade="F2"/>
          </w:tcPr>
          <w:p w14:paraId="7F3772ED" w14:textId="1339DEDA" w:rsidR="003210A8" w:rsidRPr="007D455C" w:rsidRDefault="003210A8" w:rsidP="00254265">
            <w:pPr>
              <w:jc w:val="center"/>
              <w:rPr>
                <w:rFonts w:ascii="Times New Roman" w:hAnsi="Times New Roman" w:cs="Times New Roman"/>
                <w:b/>
                <w:bCs/>
                <w:sz w:val="20"/>
                <w:szCs w:val="20"/>
              </w:rPr>
            </w:pPr>
            <w:r w:rsidRPr="007D455C">
              <w:rPr>
                <w:rFonts w:ascii="Times New Roman" w:hAnsi="Times New Roman" w:cs="Times New Roman"/>
                <w:b/>
                <w:bCs/>
                <w:sz w:val="20"/>
                <w:szCs w:val="20"/>
              </w:rPr>
              <w:t>III</w:t>
            </w:r>
          </w:p>
        </w:tc>
        <w:tc>
          <w:tcPr>
            <w:tcW w:w="1340" w:type="dxa"/>
            <w:shd w:val="clear" w:color="auto" w:fill="F2F2F2" w:themeFill="background1" w:themeFillShade="F2"/>
          </w:tcPr>
          <w:p w14:paraId="509233F9" w14:textId="04696B60" w:rsidR="003210A8" w:rsidRPr="007D455C" w:rsidRDefault="003210A8" w:rsidP="00254265">
            <w:pPr>
              <w:jc w:val="center"/>
              <w:rPr>
                <w:rFonts w:ascii="Times New Roman" w:hAnsi="Times New Roman" w:cs="Times New Roman"/>
                <w:b/>
                <w:bCs/>
                <w:sz w:val="20"/>
                <w:szCs w:val="20"/>
              </w:rPr>
            </w:pPr>
            <w:r w:rsidRPr="007D455C">
              <w:rPr>
                <w:rFonts w:ascii="Times New Roman" w:hAnsi="Times New Roman" w:cs="Times New Roman"/>
                <w:b/>
                <w:bCs/>
                <w:sz w:val="20"/>
                <w:szCs w:val="20"/>
              </w:rPr>
              <w:t>IV</w:t>
            </w:r>
          </w:p>
        </w:tc>
        <w:tc>
          <w:tcPr>
            <w:tcW w:w="1687" w:type="dxa"/>
            <w:shd w:val="clear" w:color="auto" w:fill="F2F2F2" w:themeFill="background1" w:themeFillShade="F2"/>
          </w:tcPr>
          <w:p w14:paraId="6F19ABAE" w14:textId="5B48E9CF" w:rsidR="003210A8" w:rsidRPr="007D455C" w:rsidRDefault="003210A8" w:rsidP="00254265">
            <w:pPr>
              <w:jc w:val="center"/>
              <w:rPr>
                <w:rFonts w:ascii="Times New Roman" w:hAnsi="Times New Roman" w:cs="Times New Roman"/>
                <w:b/>
                <w:bCs/>
                <w:sz w:val="20"/>
                <w:szCs w:val="20"/>
              </w:rPr>
            </w:pPr>
            <w:r w:rsidRPr="007D455C">
              <w:rPr>
                <w:rFonts w:ascii="Times New Roman" w:hAnsi="Times New Roman" w:cs="Times New Roman"/>
                <w:b/>
                <w:bCs/>
                <w:sz w:val="20"/>
                <w:szCs w:val="20"/>
              </w:rPr>
              <w:t>V</w:t>
            </w:r>
          </w:p>
        </w:tc>
        <w:tc>
          <w:tcPr>
            <w:tcW w:w="2002" w:type="dxa"/>
            <w:shd w:val="clear" w:color="auto" w:fill="F2F2F2" w:themeFill="background1" w:themeFillShade="F2"/>
          </w:tcPr>
          <w:p w14:paraId="0D40F965" w14:textId="09B8543E" w:rsidR="003210A8" w:rsidRPr="007D455C" w:rsidRDefault="003210A8" w:rsidP="00254265">
            <w:pPr>
              <w:jc w:val="center"/>
              <w:rPr>
                <w:rFonts w:ascii="Times New Roman" w:hAnsi="Times New Roman" w:cs="Times New Roman"/>
                <w:b/>
                <w:bCs/>
                <w:sz w:val="20"/>
                <w:szCs w:val="20"/>
              </w:rPr>
            </w:pPr>
            <w:r w:rsidRPr="007D455C">
              <w:rPr>
                <w:rFonts w:ascii="Times New Roman" w:hAnsi="Times New Roman" w:cs="Times New Roman"/>
                <w:b/>
                <w:bCs/>
                <w:sz w:val="20"/>
                <w:szCs w:val="20"/>
              </w:rPr>
              <w:t>VI</w:t>
            </w:r>
          </w:p>
        </w:tc>
        <w:tc>
          <w:tcPr>
            <w:tcW w:w="1069" w:type="dxa"/>
            <w:shd w:val="clear" w:color="auto" w:fill="F2F2F2" w:themeFill="background1" w:themeFillShade="F2"/>
          </w:tcPr>
          <w:p w14:paraId="50FC9D5F" w14:textId="3230192B" w:rsidR="003210A8" w:rsidRPr="007D455C" w:rsidRDefault="003210A8" w:rsidP="00254265">
            <w:pPr>
              <w:jc w:val="center"/>
              <w:rPr>
                <w:rFonts w:ascii="Times New Roman" w:hAnsi="Times New Roman" w:cs="Times New Roman"/>
                <w:b/>
                <w:bCs/>
                <w:sz w:val="20"/>
                <w:szCs w:val="20"/>
              </w:rPr>
            </w:pPr>
            <w:r w:rsidRPr="007D455C">
              <w:rPr>
                <w:rFonts w:ascii="Times New Roman" w:hAnsi="Times New Roman" w:cs="Times New Roman"/>
                <w:b/>
                <w:bCs/>
                <w:sz w:val="20"/>
                <w:szCs w:val="20"/>
              </w:rPr>
              <w:t>VII</w:t>
            </w:r>
          </w:p>
        </w:tc>
      </w:tr>
      <w:tr w:rsidR="003210A8" w:rsidRPr="007D455C" w14:paraId="1AB8A2C5" w14:textId="70C5F617" w:rsidTr="00A219C1">
        <w:trPr>
          <w:trHeight w:val="1150"/>
        </w:trPr>
        <w:tc>
          <w:tcPr>
            <w:tcW w:w="1276" w:type="dxa"/>
            <w:vMerge/>
            <w:shd w:val="clear" w:color="auto" w:fill="F2F2F2" w:themeFill="background1" w:themeFillShade="F2"/>
          </w:tcPr>
          <w:p w14:paraId="12E73841" w14:textId="3A39AB28" w:rsidR="000949A2" w:rsidRPr="000C7D63" w:rsidRDefault="000949A2" w:rsidP="00254265">
            <w:pPr>
              <w:rPr>
                <w:rFonts w:ascii="Times New Roman" w:hAnsi="Times New Roman" w:cs="Times New Roman"/>
                <w:b/>
                <w:bCs/>
                <w:sz w:val="20"/>
                <w:szCs w:val="20"/>
              </w:rPr>
            </w:pPr>
          </w:p>
        </w:tc>
        <w:tc>
          <w:tcPr>
            <w:tcW w:w="2977" w:type="dxa"/>
            <w:shd w:val="clear" w:color="auto" w:fill="A6A6A6" w:themeFill="background1" w:themeFillShade="A6"/>
          </w:tcPr>
          <w:p w14:paraId="7AA234FE" w14:textId="55B81AC1" w:rsidR="000949A2" w:rsidRPr="007D455C" w:rsidRDefault="000949A2" w:rsidP="00254265">
            <w:pPr>
              <w:rPr>
                <w:rFonts w:ascii="Times New Roman" w:hAnsi="Times New Roman" w:cs="Times New Roman"/>
                <w:b/>
                <w:bCs/>
                <w:sz w:val="20"/>
                <w:szCs w:val="20"/>
              </w:rPr>
            </w:pPr>
            <w:r>
              <w:rPr>
                <w:rFonts w:ascii="Times New Roman" w:hAnsi="Times New Roman" w:cs="Times New Roman"/>
                <w:b/>
                <w:bCs/>
                <w:sz w:val="20"/>
                <w:szCs w:val="20"/>
              </w:rPr>
              <w:t>RACCOMANDAZIONE DIGIFEMA</w:t>
            </w:r>
          </w:p>
        </w:tc>
        <w:tc>
          <w:tcPr>
            <w:tcW w:w="2268" w:type="dxa"/>
            <w:shd w:val="clear" w:color="auto" w:fill="A6A6A6" w:themeFill="background1" w:themeFillShade="A6"/>
          </w:tcPr>
          <w:p w14:paraId="152EA14C" w14:textId="77777777" w:rsidR="000949A2" w:rsidRDefault="000949A2" w:rsidP="00254265">
            <w:pPr>
              <w:rPr>
                <w:rFonts w:ascii="Times New Roman" w:hAnsi="Times New Roman" w:cs="Times New Roman"/>
                <w:b/>
                <w:bCs/>
                <w:sz w:val="20"/>
                <w:szCs w:val="20"/>
              </w:rPr>
            </w:pPr>
            <w:r>
              <w:rPr>
                <w:rFonts w:ascii="Times New Roman" w:hAnsi="Times New Roman" w:cs="Times New Roman"/>
                <w:b/>
                <w:bCs/>
                <w:sz w:val="20"/>
                <w:szCs w:val="20"/>
              </w:rPr>
              <w:t>INTEGRAZIONE</w:t>
            </w:r>
          </w:p>
          <w:p w14:paraId="2852C951" w14:textId="38EEA22C" w:rsidR="000949A2" w:rsidRPr="007D455C" w:rsidRDefault="000949A2" w:rsidP="00254265">
            <w:pPr>
              <w:rPr>
                <w:rFonts w:ascii="Times New Roman" w:hAnsi="Times New Roman" w:cs="Times New Roman"/>
                <w:b/>
                <w:bCs/>
                <w:sz w:val="20"/>
                <w:szCs w:val="20"/>
              </w:rPr>
            </w:pPr>
            <w:r>
              <w:rPr>
                <w:rFonts w:ascii="Times New Roman" w:hAnsi="Times New Roman" w:cs="Times New Roman"/>
                <w:b/>
                <w:bCs/>
                <w:sz w:val="20"/>
                <w:szCs w:val="20"/>
              </w:rPr>
              <w:t xml:space="preserve">ANSFISA  </w:t>
            </w:r>
          </w:p>
        </w:tc>
        <w:tc>
          <w:tcPr>
            <w:tcW w:w="1651" w:type="dxa"/>
            <w:shd w:val="clear" w:color="auto" w:fill="F2F2F2" w:themeFill="background1" w:themeFillShade="F2"/>
          </w:tcPr>
          <w:p w14:paraId="29A7B5DD" w14:textId="7F8A7043" w:rsidR="003210A8" w:rsidRPr="00006C5D" w:rsidRDefault="003210A8" w:rsidP="00254265">
            <w:pPr>
              <w:rPr>
                <w:rFonts w:ascii="Times New Roman" w:hAnsi="Times New Roman" w:cs="Times New Roman"/>
                <w:b/>
                <w:bCs/>
                <w:sz w:val="20"/>
                <w:szCs w:val="20"/>
              </w:rPr>
            </w:pPr>
            <w:r w:rsidRPr="003210A8">
              <w:rPr>
                <w:rFonts w:ascii="Times New Roman" w:hAnsi="Times New Roman" w:cs="Times New Roman"/>
                <w:b/>
                <w:bCs/>
                <w:sz w:val="20"/>
                <w:szCs w:val="20"/>
              </w:rPr>
              <w:t>Esito della valutazione e dell</w:t>
            </w:r>
            <w:r>
              <w:rPr>
                <w:rFonts w:ascii="Times New Roman" w:hAnsi="Times New Roman" w:cs="Times New Roman"/>
                <w:b/>
                <w:bCs/>
                <w:sz w:val="20"/>
                <w:szCs w:val="20"/>
              </w:rPr>
              <w:t>’</w:t>
            </w:r>
            <w:r w:rsidRPr="003210A8">
              <w:rPr>
                <w:rFonts w:ascii="Times New Roman" w:hAnsi="Times New Roman" w:cs="Times New Roman"/>
                <w:b/>
                <w:bCs/>
                <w:sz w:val="20"/>
                <w:szCs w:val="20"/>
              </w:rPr>
              <w:t xml:space="preserve">analisi condotta ai </w:t>
            </w:r>
            <w:r w:rsidRPr="00006C5D">
              <w:rPr>
                <w:rFonts w:ascii="Times New Roman" w:hAnsi="Times New Roman" w:cs="Times New Roman"/>
                <w:b/>
                <w:bCs/>
                <w:sz w:val="20"/>
                <w:szCs w:val="20"/>
              </w:rPr>
              <w:t xml:space="preserve">fini </w:t>
            </w:r>
          </w:p>
          <w:p w14:paraId="3BD7E019" w14:textId="233C5D48" w:rsidR="000949A2" w:rsidRPr="003210A8" w:rsidRDefault="003210A8" w:rsidP="00254265">
            <w:pPr>
              <w:rPr>
                <w:rFonts w:ascii="Times New Roman" w:hAnsi="Times New Roman" w:cs="Times New Roman"/>
                <w:b/>
                <w:bCs/>
                <w:sz w:val="20"/>
                <w:szCs w:val="20"/>
              </w:rPr>
            </w:pPr>
            <w:r w:rsidRPr="00006C5D">
              <w:rPr>
                <w:rFonts w:ascii="Times New Roman" w:hAnsi="Times New Roman" w:cs="Times New Roman"/>
                <w:b/>
                <w:bCs/>
                <w:sz w:val="20"/>
                <w:szCs w:val="20"/>
              </w:rPr>
              <w:t>della modifica</w:t>
            </w:r>
            <w:r w:rsidRPr="003210A8">
              <w:rPr>
                <w:rFonts w:ascii="Times New Roman" w:hAnsi="Times New Roman" w:cs="Times New Roman"/>
                <w:b/>
                <w:bCs/>
                <w:sz w:val="20"/>
                <w:szCs w:val="20"/>
              </w:rPr>
              <w:t xml:space="preserve"> </w:t>
            </w:r>
            <w:r>
              <w:rPr>
                <w:rFonts w:ascii="Times New Roman" w:hAnsi="Times New Roman" w:cs="Times New Roman"/>
                <w:b/>
                <w:bCs/>
                <w:sz w:val="20"/>
                <w:szCs w:val="20"/>
              </w:rPr>
              <w:t>d</w:t>
            </w:r>
            <w:r w:rsidRPr="003210A8">
              <w:rPr>
                <w:rFonts w:ascii="Times New Roman" w:hAnsi="Times New Roman" w:cs="Times New Roman"/>
                <w:b/>
                <w:bCs/>
                <w:sz w:val="20"/>
                <w:szCs w:val="20"/>
              </w:rPr>
              <w:t>el SGS</w:t>
            </w:r>
          </w:p>
        </w:tc>
        <w:tc>
          <w:tcPr>
            <w:tcW w:w="1465" w:type="dxa"/>
            <w:shd w:val="clear" w:color="auto" w:fill="F2F2F2" w:themeFill="background1" w:themeFillShade="F2"/>
          </w:tcPr>
          <w:p w14:paraId="71E5C1F9" w14:textId="3ADCFB93" w:rsidR="000949A2" w:rsidRPr="003210A8" w:rsidRDefault="000949A2" w:rsidP="00254265">
            <w:pPr>
              <w:rPr>
                <w:rFonts w:ascii="Times New Roman" w:hAnsi="Times New Roman" w:cs="Times New Roman"/>
                <w:b/>
                <w:bCs/>
                <w:sz w:val="20"/>
                <w:szCs w:val="20"/>
              </w:rPr>
            </w:pPr>
            <w:r w:rsidRPr="003210A8">
              <w:rPr>
                <w:rFonts w:ascii="Times New Roman" w:hAnsi="Times New Roman" w:cs="Times New Roman"/>
                <w:b/>
                <w:bCs/>
                <w:sz w:val="20"/>
                <w:szCs w:val="20"/>
              </w:rPr>
              <w:t>Requisiti di sicurezza da implementare derivanti dall’analisi</w:t>
            </w:r>
          </w:p>
        </w:tc>
        <w:tc>
          <w:tcPr>
            <w:tcW w:w="1340" w:type="dxa"/>
            <w:shd w:val="clear" w:color="auto" w:fill="F2F2F2" w:themeFill="background1" w:themeFillShade="F2"/>
          </w:tcPr>
          <w:p w14:paraId="164F5AA1" w14:textId="144402D8" w:rsidR="000949A2" w:rsidRPr="003210A8" w:rsidRDefault="000949A2" w:rsidP="00254265">
            <w:pPr>
              <w:rPr>
                <w:rFonts w:ascii="Times New Roman" w:hAnsi="Times New Roman" w:cs="Times New Roman"/>
                <w:b/>
                <w:bCs/>
                <w:sz w:val="20"/>
                <w:szCs w:val="20"/>
              </w:rPr>
            </w:pPr>
            <w:r w:rsidRPr="003210A8">
              <w:rPr>
                <w:rFonts w:ascii="Times New Roman" w:hAnsi="Times New Roman" w:cs="Times New Roman"/>
                <w:b/>
                <w:bCs/>
                <w:sz w:val="20"/>
                <w:szCs w:val="20"/>
              </w:rPr>
              <w:t>Programma di attuazione</w:t>
            </w:r>
          </w:p>
        </w:tc>
        <w:tc>
          <w:tcPr>
            <w:tcW w:w="1687" w:type="dxa"/>
            <w:shd w:val="clear" w:color="auto" w:fill="F2F2F2" w:themeFill="background1" w:themeFillShade="F2"/>
          </w:tcPr>
          <w:p w14:paraId="5E2384B8" w14:textId="1F1EF377" w:rsidR="000949A2" w:rsidRPr="003210A8" w:rsidRDefault="000949A2" w:rsidP="00254265">
            <w:pPr>
              <w:rPr>
                <w:rFonts w:ascii="Times New Roman" w:hAnsi="Times New Roman" w:cs="Times New Roman"/>
                <w:b/>
                <w:bCs/>
                <w:sz w:val="20"/>
                <w:szCs w:val="20"/>
              </w:rPr>
            </w:pPr>
            <w:r w:rsidRPr="003210A8">
              <w:rPr>
                <w:rFonts w:ascii="Times New Roman" w:hAnsi="Times New Roman" w:cs="Times New Roman"/>
                <w:b/>
                <w:bCs/>
                <w:sz w:val="20"/>
                <w:szCs w:val="20"/>
              </w:rPr>
              <w:t>Stato di implementazione del programma</w:t>
            </w:r>
          </w:p>
        </w:tc>
        <w:tc>
          <w:tcPr>
            <w:tcW w:w="2002" w:type="dxa"/>
            <w:shd w:val="clear" w:color="auto" w:fill="F2F2F2" w:themeFill="background1" w:themeFillShade="F2"/>
          </w:tcPr>
          <w:p w14:paraId="13A77823" w14:textId="32681DA5" w:rsidR="000949A2" w:rsidRPr="003210A8" w:rsidRDefault="000949A2" w:rsidP="00254265">
            <w:pPr>
              <w:rPr>
                <w:rFonts w:ascii="Times New Roman" w:hAnsi="Times New Roman" w:cs="Times New Roman"/>
                <w:b/>
                <w:bCs/>
                <w:sz w:val="20"/>
                <w:szCs w:val="20"/>
              </w:rPr>
            </w:pPr>
            <w:r w:rsidRPr="003210A8">
              <w:rPr>
                <w:rFonts w:ascii="Times New Roman" w:hAnsi="Times New Roman" w:cs="Times New Roman"/>
                <w:b/>
                <w:bCs/>
                <w:sz w:val="20"/>
                <w:szCs w:val="20"/>
              </w:rPr>
              <w:t>Mitigazioni adottate nelle more del completamento del programma di attuazione</w:t>
            </w:r>
          </w:p>
        </w:tc>
        <w:tc>
          <w:tcPr>
            <w:tcW w:w="1069" w:type="dxa"/>
            <w:shd w:val="clear" w:color="auto" w:fill="F2F2F2" w:themeFill="background1" w:themeFillShade="F2"/>
          </w:tcPr>
          <w:p w14:paraId="757EBE46" w14:textId="619ADA9F" w:rsidR="000949A2" w:rsidRPr="007D455C" w:rsidRDefault="000949A2" w:rsidP="00254265">
            <w:pPr>
              <w:rPr>
                <w:rFonts w:ascii="Times New Roman" w:hAnsi="Times New Roman" w:cs="Times New Roman"/>
                <w:b/>
                <w:bCs/>
                <w:sz w:val="20"/>
                <w:szCs w:val="20"/>
              </w:rPr>
            </w:pPr>
            <w:r w:rsidRPr="007D455C">
              <w:rPr>
                <w:rFonts w:ascii="Times New Roman" w:hAnsi="Times New Roman" w:cs="Times New Roman"/>
                <w:b/>
                <w:bCs/>
                <w:sz w:val="20"/>
                <w:szCs w:val="20"/>
              </w:rPr>
              <w:t>Evidenze</w:t>
            </w:r>
          </w:p>
        </w:tc>
      </w:tr>
      <w:tr w:rsidR="003210A8" w:rsidRPr="007D455C" w14:paraId="2F682DAB" w14:textId="25F78A1D" w:rsidTr="00A219C1">
        <w:trPr>
          <w:trHeight w:val="272"/>
        </w:trPr>
        <w:tc>
          <w:tcPr>
            <w:tcW w:w="1276" w:type="dxa"/>
            <w:shd w:val="clear" w:color="auto" w:fill="F2F2F2" w:themeFill="background1" w:themeFillShade="F2"/>
          </w:tcPr>
          <w:p w14:paraId="099F8661" w14:textId="05A972D3" w:rsidR="000C7D63" w:rsidRPr="000C7D63" w:rsidRDefault="007E3812" w:rsidP="00254265">
            <w:pPr>
              <w:rPr>
                <w:rFonts w:ascii="Times New Roman" w:hAnsi="Times New Roman" w:cs="Times New Roman"/>
                <w:b/>
                <w:bCs/>
                <w:sz w:val="20"/>
                <w:szCs w:val="20"/>
              </w:rPr>
            </w:pPr>
            <w:r w:rsidRPr="007E3812">
              <w:rPr>
                <w:rFonts w:ascii="Times New Roman" w:hAnsi="Times New Roman" w:cs="Times New Roman"/>
                <w:b/>
                <w:bCs/>
                <w:sz w:val="20"/>
                <w:szCs w:val="20"/>
              </w:rPr>
              <w:t>IT-10</w:t>
            </w:r>
            <w:r w:rsidR="00543B95">
              <w:rPr>
                <w:rFonts w:ascii="Times New Roman" w:hAnsi="Times New Roman" w:cs="Times New Roman"/>
                <w:b/>
                <w:bCs/>
                <w:sz w:val="20"/>
                <w:szCs w:val="20"/>
              </w:rPr>
              <w:t>335</w:t>
            </w:r>
            <w:r w:rsidRPr="007E3812">
              <w:rPr>
                <w:rFonts w:ascii="Times New Roman" w:hAnsi="Times New Roman" w:cs="Times New Roman"/>
                <w:b/>
                <w:bCs/>
                <w:sz w:val="20"/>
                <w:szCs w:val="20"/>
              </w:rPr>
              <w:t>-01</w:t>
            </w:r>
          </w:p>
        </w:tc>
        <w:tc>
          <w:tcPr>
            <w:tcW w:w="2977" w:type="dxa"/>
            <w:shd w:val="clear" w:color="auto" w:fill="D9D9D9" w:themeFill="background1" w:themeFillShade="D9"/>
          </w:tcPr>
          <w:p w14:paraId="1D03CC8A" w14:textId="6D06CBE4" w:rsidR="000C7D63" w:rsidRPr="00A46BA5" w:rsidRDefault="00A46BA5" w:rsidP="00A46BA5">
            <w:pPr>
              <w:jc w:val="both"/>
              <w:rPr>
                <w:rFonts w:ascii="Times New Roman" w:hAnsi="Times New Roman" w:cs="Times New Roman"/>
                <w:color w:val="000000"/>
                <w:sz w:val="20"/>
                <w:szCs w:val="20"/>
              </w:rPr>
            </w:pPr>
            <w:r w:rsidRPr="00A46BA5">
              <w:rPr>
                <w:rFonts w:ascii="Times New Roman" w:hAnsi="Times New Roman" w:cs="Times New Roman"/>
                <w:color w:val="000000"/>
                <w:sz w:val="20"/>
                <w:szCs w:val="20"/>
              </w:rPr>
              <w:t>Si raccomanda all’Agenzia Nazionale per la Sicurezza delle Ferrovie e delle Infrastrutture Stradali e Autostradali di adoperarsi affinché i gestori delle infrastrutture rispettino e monitorino l’implementazione delle attività previste dai piani di manutenzione preventiva di enti e apparati, valutandone l’efficacia e l’adeguatezza in termini di frequenza delle attività di manutenzione, in relazione anche alla vetustà degli enti e degli apparati oggetto della manutenzione.</w:t>
            </w:r>
          </w:p>
        </w:tc>
        <w:tc>
          <w:tcPr>
            <w:tcW w:w="2268" w:type="dxa"/>
            <w:shd w:val="clear" w:color="auto" w:fill="D9D9D9" w:themeFill="background1" w:themeFillShade="D9"/>
          </w:tcPr>
          <w:p w14:paraId="5A1F929D" w14:textId="612406C2" w:rsidR="000C7D63" w:rsidRPr="00543B95" w:rsidRDefault="00543B95" w:rsidP="00A46BA5">
            <w:pPr>
              <w:jc w:val="center"/>
              <w:rPr>
                <w:rFonts w:ascii="Times New Roman" w:hAnsi="Times New Roman" w:cs="Times New Roman"/>
                <w:color w:val="000000"/>
                <w:sz w:val="20"/>
                <w:szCs w:val="20"/>
              </w:rPr>
            </w:pPr>
            <w:proofErr w:type="spellStart"/>
            <w:r w:rsidRPr="00543B95">
              <w:rPr>
                <w:rFonts w:ascii="Times New Roman" w:hAnsi="Times New Roman" w:cs="Times New Roman"/>
                <w:color w:val="000000"/>
                <w:sz w:val="20"/>
                <w:szCs w:val="20"/>
              </w:rPr>
              <w:t>pm</w:t>
            </w:r>
            <w:proofErr w:type="spellEnd"/>
          </w:p>
        </w:tc>
        <w:tc>
          <w:tcPr>
            <w:tcW w:w="1651" w:type="dxa"/>
          </w:tcPr>
          <w:p w14:paraId="35CA9597" w14:textId="57D9D079" w:rsidR="000C7D63" w:rsidRPr="007D455C" w:rsidRDefault="000C7D63" w:rsidP="00254265">
            <w:pPr>
              <w:rPr>
                <w:rFonts w:ascii="Times New Roman" w:hAnsi="Times New Roman" w:cs="Times New Roman"/>
                <w:sz w:val="20"/>
                <w:szCs w:val="20"/>
              </w:rPr>
            </w:pPr>
          </w:p>
        </w:tc>
        <w:tc>
          <w:tcPr>
            <w:tcW w:w="1465" w:type="dxa"/>
          </w:tcPr>
          <w:p w14:paraId="37D988F7" w14:textId="77777777" w:rsidR="000C7D63" w:rsidRPr="007D455C" w:rsidRDefault="000C7D63" w:rsidP="00254265">
            <w:pPr>
              <w:rPr>
                <w:rFonts w:ascii="Times New Roman" w:hAnsi="Times New Roman" w:cs="Times New Roman"/>
                <w:sz w:val="20"/>
                <w:szCs w:val="20"/>
              </w:rPr>
            </w:pPr>
          </w:p>
        </w:tc>
        <w:tc>
          <w:tcPr>
            <w:tcW w:w="1340" w:type="dxa"/>
          </w:tcPr>
          <w:p w14:paraId="32CB24CC" w14:textId="77777777" w:rsidR="000C7D63" w:rsidRPr="007D455C" w:rsidRDefault="000C7D63" w:rsidP="00254265">
            <w:pPr>
              <w:rPr>
                <w:rFonts w:ascii="Times New Roman" w:hAnsi="Times New Roman" w:cs="Times New Roman"/>
                <w:sz w:val="20"/>
                <w:szCs w:val="20"/>
              </w:rPr>
            </w:pPr>
          </w:p>
        </w:tc>
        <w:tc>
          <w:tcPr>
            <w:tcW w:w="1687" w:type="dxa"/>
          </w:tcPr>
          <w:p w14:paraId="17DE8020" w14:textId="5056F393" w:rsidR="000C7D63" w:rsidRPr="007D455C" w:rsidRDefault="000C7D63" w:rsidP="00254265">
            <w:pPr>
              <w:rPr>
                <w:rFonts w:ascii="Times New Roman" w:hAnsi="Times New Roman" w:cs="Times New Roman"/>
                <w:sz w:val="20"/>
                <w:szCs w:val="20"/>
              </w:rPr>
            </w:pPr>
          </w:p>
        </w:tc>
        <w:tc>
          <w:tcPr>
            <w:tcW w:w="2002" w:type="dxa"/>
          </w:tcPr>
          <w:p w14:paraId="197FBF10" w14:textId="2D61B160" w:rsidR="000C7D63" w:rsidRPr="007D455C" w:rsidRDefault="000C7D63" w:rsidP="00254265">
            <w:pPr>
              <w:rPr>
                <w:rFonts w:ascii="Times New Roman" w:hAnsi="Times New Roman" w:cs="Times New Roman"/>
                <w:sz w:val="20"/>
                <w:szCs w:val="20"/>
              </w:rPr>
            </w:pPr>
          </w:p>
        </w:tc>
        <w:tc>
          <w:tcPr>
            <w:tcW w:w="1069" w:type="dxa"/>
          </w:tcPr>
          <w:p w14:paraId="247A48FD" w14:textId="77777777" w:rsidR="000C7D63" w:rsidRPr="007D455C" w:rsidRDefault="000C7D63" w:rsidP="00254265">
            <w:pPr>
              <w:rPr>
                <w:rFonts w:ascii="Times New Roman" w:hAnsi="Times New Roman" w:cs="Times New Roman"/>
                <w:sz w:val="20"/>
                <w:szCs w:val="20"/>
              </w:rPr>
            </w:pPr>
          </w:p>
        </w:tc>
      </w:tr>
      <w:tr w:rsidR="00543B95" w:rsidRPr="007D455C" w14:paraId="3C12AC5C" w14:textId="0B3B1B18" w:rsidTr="00A219C1">
        <w:tc>
          <w:tcPr>
            <w:tcW w:w="1276" w:type="dxa"/>
            <w:shd w:val="clear" w:color="auto" w:fill="F2F2F2" w:themeFill="background1" w:themeFillShade="F2"/>
          </w:tcPr>
          <w:p w14:paraId="4FF79F90" w14:textId="213566B8" w:rsidR="00543B95" w:rsidRPr="000C7D63" w:rsidRDefault="00543B95" w:rsidP="00543B95">
            <w:pPr>
              <w:pStyle w:val="Default"/>
              <w:rPr>
                <w:rFonts w:ascii="Times New Roman" w:hAnsi="Times New Roman" w:cs="Times New Roman"/>
                <w:b/>
                <w:bCs/>
                <w:color w:val="auto"/>
                <w:sz w:val="20"/>
                <w:szCs w:val="20"/>
              </w:rPr>
            </w:pPr>
            <w:r w:rsidRPr="007E3812">
              <w:rPr>
                <w:rFonts w:ascii="Times New Roman" w:hAnsi="Times New Roman" w:cs="Times New Roman"/>
                <w:b/>
                <w:bCs/>
                <w:sz w:val="20"/>
                <w:szCs w:val="20"/>
              </w:rPr>
              <w:t>IT-10</w:t>
            </w:r>
            <w:r>
              <w:rPr>
                <w:rFonts w:ascii="Times New Roman" w:hAnsi="Times New Roman" w:cs="Times New Roman"/>
                <w:b/>
                <w:bCs/>
                <w:sz w:val="20"/>
                <w:szCs w:val="20"/>
              </w:rPr>
              <w:t>335</w:t>
            </w:r>
            <w:r w:rsidRPr="007E3812">
              <w:rPr>
                <w:rFonts w:ascii="Times New Roman" w:hAnsi="Times New Roman" w:cs="Times New Roman"/>
                <w:b/>
                <w:bCs/>
                <w:sz w:val="20"/>
                <w:szCs w:val="20"/>
              </w:rPr>
              <w:t>-0</w:t>
            </w:r>
            <w:r>
              <w:rPr>
                <w:rFonts w:ascii="Times New Roman" w:hAnsi="Times New Roman" w:cs="Times New Roman"/>
                <w:b/>
                <w:bCs/>
                <w:sz w:val="20"/>
                <w:szCs w:val="20"/>
              </w:rPr>
              <w:t>2</w:t>
            </w:r>
          </w:p>
        </w:tc>
        <w:tc>
          <w:tcPr>
            <w:tcW w:w="2977" w:type="dxa"/>
            <w:shd w:val="clear" w:color="auto" w:fill="D9D9D9" w:themeFill="background1" w:themeFillShade="D9"/>
          </w:tcPr>
          <w:p w14:paraId="33700C00" w14:textId="3E5E670A" w:rsidR="00543B95" w:rsidRPr="00A46BA5" w:rsidRDefault="00A46BA5" w:rsidP="00A46BA5">
            <w:pPr>
              <w:pStyle w:val="Default"/>
              <w:autoSpaceDE/>
              <w:autoSpaceDN/>
              <w:adjustRightInd/>
              <w:jc w:val="both"/>
              <w:rPr>
                <w:rFonts w:ascii="Times New Roman" w:hAnsi="Times New Roman" w:cs="Times New Roman"/>
                <w:sz w:val="20"/>
                <w:szCs w:val="20"/>
              </w:rPr>
            </w:pPr>
            <w:r w:rsidRPr="00A46BA5">
              <w:rPr>
                <w:rFonts w:ascii="Times New Roman" w:hAnsi="Times New Roman" w:cs="Times New Roman"/>
                <w:sz w:val="20"/>
                <w:szCs w:val="20"/>
              </w:rPr>
              <w:t xml:space="preserve">Si raccomanda all’Agenzia Nazionale per la Sicurezza delle Ferrovie e delle Infrastrutture Stradali e Autostradali di adoperarsi affinché i gestori delle infrastrutture e le imprese ferroviarie procedano a una verifica e a una eventuale rivalutazione degli orari di lavoro ovvero rimodulazione del servizio, in relazione agli aggravi dei carichi di lavoro conseguenti a condizioni di esercizio della circolazione in regime di degrado </w:t>
            </w:r>
            <w:r w:rsidRPr="00A46BA5">
              <w:rPr>
                <w:rFonts w:ascii="Times New Roman" w:hAnsi="Times New Roman" w:cs="Times New Roman"/>
                <w:sz w:val="20"/>
                <w:szCs w:val="20"/>
              </w:rPr>
              <w:lastRenderedPageBreak/>
              <w:t>dell’infrastruttura a causa del verificarsi di guasti.</w:t>
            </w:r>
          </w:p>
        </w:tc>
        <w:tc>
          <w:tcPr>
            <w:tcW w:w="2268" w:type="dxa"/>
            <w:shd w:val="clear" w:color="auto" w:fill="D9D9D9" w:themeFill="background1" w:themeFillShade="D9"/>
          </w:tcPr>
          <w:p w14:paraId="5F0A9018" w14:textId="5CA42C93" w:rsidR="00543B95" w:rsidRPr="003F21A5" w:rsidRDefault="00543B95" w:rsidP="00A46BA5">
            <w:pPr>
              <w:jc w:val="center"/>
              <w:rPr>
                <w:rFonts w:ascii="Times New Roman" w:eastAsia="Times New Roman" w:hAnsi="Times New Roman" w:cs="Times New Roman"/>
                <w:sz w:val="20"/>
                <w:szCs w:val="20"/>
                <w:lang w:eastAsia="it-IT"/>
              </w:rPr>
            </w:pPr>
            <w:proofErr w:type="spellStart"/>
            <w:r w:rsidRPr="00543B95">
              <w:rPr>
                <w:rFonts w:ascii="Times New Roman" w:hAnsi="Times New Roman" w:cs="Times New Roman"/>
                <w:color w:val="000000"/>
                <w:sz w:val="20"/>
                <w:szCs w:val="20"/>
              </w:rPr>
              <w:lastRenderedPageBreak/>
              <w:t>pm</w:t>
            </w:r>
            <w:proofErr w:type="spellEnd"/>
          </w:p>
        </w:tc>
        <w:tc>
          <w:tcPr>
            <w:tcW w:w="1651" w:type="dxa"/>
            <w:shd w:val="clear" w:color="auto" w:fill="auto"/>
          </w:tcPr>
          <w:p w14:paraId="1465A9F7" w14:textId="77777777" w:rsidR="00543B95" w:rsidRPr="007D455C" w:rsidRDefault="00543B95" w:rsidP="00543B95">
            <w:pPr>
              <w:rPr>
                <w:rFonts w:ascii="Times New Roman" w:hAnsi="Times New Roman" w:cs="Times New Roman"/>
                <w:sz w:val="20"/>
                <w:szCs w:val="20"/>
              </w:rPr>
            </w:pPr>
          </w:p>
        </w:tc>
        <w:tc>
          <w:tcPr>
            <w:tcW w:w="1465" w:type="dxa"/>
            <w:shd w:val="clear" w:color="auto" w:fill="auto"/>
          </w:tcPr>
          <w:p w14:paraId="1B362892" w14:textId="77777777" w:rsidR="00543B95" w:rsidRPr="007D455C" w:rsidRDefault="00543B95" w:rsidP="00543B95">
            <w:pPr>
              <w:rPr>
                <w:rFonts w:ascii="Times New Roman" w:hAnsi="Times New Roman" w:cs="Times New Roman"/>
                <w:sz w:val="20"/>
                <w:szCs w:val="20"/>
              </w:rPr>
            </w:pPr>
          </w:p>
        </w:tc>
        <w:tc>
          <w:tcPr>
            <w:tcW w:w="1340" w:type="dxa"/>
            <w:shd w:val="clear" w:color="auto" w:fill="auto"/>
          </w:tcPr>
          <w:p w14:paraId="07BF3997" w14:textId="77777777" w:rsidR="00543B95" w:rsidRPr="007D455C" w:rsidRDefault="00543B95" w:rsidP="00543B95">
            <w:pPr>
              <w:rPr>
                <w:rFonts w:ascii="Times New Roman" w:hAnsi="Times New Roman" w:cs="Times New Roman"/>
                <w:sz w:val="20"/>
                <w:szCs w:val="20"/>
              </w:rPr>
            </w:pPr>
          </w:p>
        </w:tc>
        <w:tc>
          <w:tcPr>
            <w:tcW w:w="1687" w:type="dxa"/>
            <w:shd w:val="clear" w:color="auto" w:fill="auto"/>
          </w:tcPr>
          <w:p w14:paraId="4E111372" w14:textId="77777777" w:rsidR="00543B95" w:rsidRPr="007D455C" w:rsidRDefault="00543B95" w:rsidP="00543B95">
            <w:pPr>
              <w:rPr>
                <w:rFonts w:ascii="Times New Roman" w:hAnsi="Times New Roman" w:cs="Times New Roman"/>
                <w:sz w:val="20"/>
                <w:szCs w:val="20"/>
              </w:rPr>
            </w:pPr>
          </w:p>
        </w:tc>
        <w:tc>
          <w:tcPr>
            <w:tcW w:w="2002" w:type="dxa"/>
            <w:shd w:val="clear" w:color="auto" w:fill="auto"/>
          </w:tcPr>
          <w:p w14:paraId="0023E219" w14:textId="77777777" w:rsidR="00543B95" w:rsidRPr="007D455C" w:rsidRDefault="00543B95" w:rsidP="00543B95">
            <w:pPr>
              <w:rPr>
                <w:rFonts w:ascii="Times New Roman" w:hAnsi="Times New Roman" w:cs="Times New Roman"/>
                <w:sz w:val="20"/>
                <w:szCs w:val="20"/>
              </w:rPr>
            </w:pPr>
          </w:p>
        </w:tc>
        <w:tc>
          <w:tcPr>
            <w:tcW w:w="1069" w:type="dxa"/>
            <w:shd w:val="clear" w:color="auto" w:fill="auto"/>
          </w:tcPr>
          <w:p w14:paraId="7BA578D9" w14:textId="77777777" w:rsidR="00543B95" w:rsidRPr="007D455C" w:rsidRDefault="00543B95" w:rsidP="00543B95">
            <w:pPr>
              <w:rPr>
                <w:rFonts w:ascii="Times New Roman" w:hAnsi="Times New Roman" w:cs="Times New Roman"/>
                <w:sz w:val="20"/>
                <w:szCs w:val="20"/>
              </w:rPr>
            </w:pPr>
          </w:p>
        </w:tc>
      </w:tr>
      <w:tr w:rsidR="00A46BA5" w:rsidRPr="007D455C" w14:paraId="37AD2CB8" w14:textId="47903F1E" w:rsidTr="00A219C1">
        <w:tc>
          <w:tcPr>
            <w:tcW w:w="1276" w:type="dxa"/>
            <w:shd w:val="clear" w:color="auto" w:fill="F2F2F2" w:themeFill="background1" w:themeFillShade="F2"/>
          </w:tcPr>
          <w:p w14:paraId="4D3EBC45" w14:textId="4CF28E5D" w:rsidR="00A46BA5" w:rsidRPr="00B609C7" w:rsidRDefault="00A46BA5" w:rsidP="00A46BA5">
            <w:pPr>
              <w:pStyle w:val="Default"/>
              <w:spacing w:after="25"/>
              <w:rPr>
                <w:rFonts w:ascii="Times New Roman" w:hAnsi="Times New Roman" w:cs="Times New Roman"/>
                <w:b/>
                <w:bCs/>
                <w:color w:val="auto"/>
                <w:sz w:val="20"/>
                <w:szCs w:val="20"/>
              </w:rPr>
            </w:pPr>
            <w:r w:rsidRPr="007E3812">
              <w:rPr>
                <w:rFonts w:ascii="Times New Roman" w:hAnsi="Times New Roman" w:cs="Times New Roman"/>
                <w:b/>
                <w:bCs/>
                <w:sz w:val="20"/>
                <w:szCs w:val="20"/>
              </w:rPr>
              <w:t>IT-10</w:t>
            </w:r>
            <w:r>
              <w:rPr>
                <w:rFonts w:ascii="Times New Roman" w:hAnsi="Times New Roman" w:cs="Times New Roman"/>
                <w:b/>
                <w:bCs/>
                <w:sz w:val="20"/>
                <w:szCs w:val="20"/>
              </w:rPr>
              <w:t>335</w:t>
            </w:r>
            <w:r w:rsidRPr="007E3812">
              <w:rPr>
                <w:rFonts w:ascii="Times New Roman" w:hAnsi="Times New Roman" w:cs="Times New Roman"/>
                <w:b/>
                <w:bCs/>
                <w:sz w:val="20"/>
                <w:szCs w:val="20"/>
              </w:rPr>
              <w:t>-0</w:t>
            </w:r>
            <w:r>
              <w:rPr>
                <w:rFonts w:ascii="Times New Roman" w:hAnsi="Times New Roman" w:cs="Times New Roman"/>
                <w:b/>
                <w:bCs/>
                <w:sz w:val="20"/>
                <w:szCs w:val="20"/>
              </w:rPr>
              <w:t>3</w:t>
            </w:r>
          </w:p>
        </w:tc>
        <w:tc>
          <w:tcPr>
            <w:tcW w:w="2977" w:type="dxa"/>
            <w:shd w:val="clear" w:color="auto" w:fill="D9D9D9" w:themeFill="background1" w:themeFillShade="D9"/>
          </w:tcPr>
          <w:p w14:paraId="50A624C7" w14:textId="2C050F10" w:rsidR="00A46BA5" w:rsidRPr="00A219C1" w:rsidRDefault="00CF075A" w:rsidP="00CF075A">
            <w:pPr>
              <w:pStyle w:val="Default"/>
              <w:autoSpaceDE/>
              <w:autoSpaceDN/>
              <w:adjustRightInd/>
              <w:jc w:val="both"/>
              <w:rPr>
                <w:rFonts w:ascii="Times New Roman" w:hAnsi="Times New Roman" w:cs="Times New Roman"/>
                <w:sz w:val="20"/>
                <w:szCs w:val="20"/>
              </w:rPr>
            </w:pPr>
            <w:r w:rsidRPr="00CF075A">
              <w:rPr>
                <w:rFonts w:ascii="Times New Roman" w:hAnsi="Times New Roman" w:cs="Times New Roman"/>
                <w:sz w:val="20"/>
                <w:szCs w:val="20"/>
              </w:rPr>
              <w:t>Si raccomanda all’Agenzia Nazionale per la Sicurezza delle Ferrovie e delle Infrastrutture Stradali e Autostradali di adoperarsi affinché l’IF e GI EAV proceda in tempi rapidi a una rielaborazione dei propri regolamenti ispirata ai principi di chiarezza, precisione, uniformità, semplicità e completezza, soprattutto con riferimento alle procedure di sicurezza da adottare per garantire l’esercizio della circolazione in regime di degrado dell’infrastruttura a causa del verificarsi di guasti.</w:t>
            </w:r>
          </w:p>
        </w:tc>
        <w:tc>
          <w:tcPr>
            <w:tcW w:w="2268" w:type="dxa"/>
            <w:shd w:val="clear" w:color="auto" w:fill="D9D9D9" w:themeFill="background1" w:themeFillShade="D9"/>
          </w:tcPr>
          <w:p w14:paraId="400112D3" w14:textId="1F7F0FCC" w:rsidR="00A46BA5" w:rsidRPr="007E3812" w:rsidRDefault="00A46BA5" w:rsidP="00A46BA5">
            <w:pPr>
              <w:autoSpaceDE w:val="0"/>
              <w:autoSpaceDN w:val="0"/>
              <w:adjustRightInd w:val="0"/>
              <w:jc w:val="center"/>
              <w:rPr>
                <w:rFonts w:ascii="Times New Roman" w:hAnsi="Times New Roman" w:cs="Times New Roman"/>
                <w:sz w:val="20"/>
                <w:szCs w:val="20"/>
              </w:rPr>
            </w:pPr>
            <w:proofErr w:type="spellStart"/>
            <w:r w:rsidRPr="00543B95">
              <w:rPr>
                <w:rFonts w:ascii="Times New Roman" w:hAnsi="Times New Roman" w:cs="Times New Roman"/>
                <w:color w:val="000000"/>
                <w:sz w:val="20"/>
                <w:szCs w:val="20"/>
              </w:rPr>
              <w:t>pm</w:t>
            </w:r>
            <w:proofErr w:type="spellEnd"/>
          </w:p>
        </w:tc>
        <w:tc>
          <w:tcPr>
            <w:tcW w:w="1651" w:type="dxa"/>
          </w:tcPr>
          <w:p w14:paraId="10DDBDAA" w14:textId="3346D90A" w:rsidR="00A46BA5" w:rsidRPr="007D455C" w:rsidRDefault="00A46BA5" w:rsidP="00A46BA5">
            <w:pPr>
              <w:rPr>
                <w:rFonts w:ascii="Times New Roman" w:hAnsi="Times New Roman" w:cs="Times New Roman"/>
                <w:sz w:val="20"/>
                <w:szCs w:val="20"/>
              </w:rPr>
            </w:pPr>
          </w:p>
        </w:tc>
        <w:tc>
          <w:tcPr>
            <w:tcW w:w="1465" w:type="dxa"/>
          </w:tcPr>
          <w:p w14:paraId="25C1CE4B" w14:textId="77777777" w:rsidR="00A46BA5" w:rsidRPr="007D455C" w:rsidRDefault="00A46BA5" w:rsidP="00A46BA5">
            <w:pPr>
              <w:rPr>
                <w:rFonts w:ascii="Times New Roman" w:hAnsi="Times New Roman" w:cs="Times New Roman"/>
                <w:sz w:val="20"/>
                <w:szCs w:val="20"/>
              </w:rPr>
            </w:pPr>
          </w:p>
        </w:tc>
        <w:tc>
          <w:tcPr>
            <w:tcW w:w="1340" w:type="dxa"/>
          </w:tcPr>
          <w:p w14:paraId="1713DB2E" w14:textId="77777777" w:rsidR="00A46BA5" w:rsidRPr="007D455C" w:rsidRDefault="00A46BA5" w:rsidP="00A46BA5">
            <w:pPr>
              <w:rPr>
                <w:rFonts w:ascii="Times New Roman" w:hAnsi="Times New Roman" w:cs="Times New Roman"/>
                <w:sz w:val="20"/>
                <w:szCs w:val="20"/>
              </w:rPr>
            </w:pPr>
          </w:p>
        </w:tc>
        <w:tc>
          <w:tcPr>
            <w:tcW w:w="1687" w:type="dxa"/>
          </w:tcPr>
          <w:p w14:paraId="6FCC3592" w14:textId="77777777" w:rsidR="00A46BA5" w:rsidRPr="007D455C" w:rsidRDefault="00A46BA5" w:rsidP="00A46BA5">
            <w:pPr>
              <w:rPr>
                <w:rFonts w:ascii="Times New Roman" w:hAnsi="Times New Roman" w:cs="Times New Roman"/>
                <w:sz w:val="20"/>
                <w:szCs w:val="20"/>
              </w:rPr>
            </w:pPr>
          </w:p>
        </w:tc>
        <w:tc>
          <w:tcPr>
            <w:tcW w:w="2002" w:type="dxa"/>
          </w:tcPr>
          <w:p w14:paraId="08301548" w14:textId="77777777" w:rsidR="00A46BA5" w:rsidRPr="007D455C" w:rsidRDefault="00A46BA5" w:rsidP="00A46BA5">
            <w:pPr>
              <w:rPr>
                <w:rFonts w:ascii="Times New Roman" w:hAnsi="Times New Roman" w:cs="Times New Roman"/>
                <w:sz w:val="20"/>
                <w:szCs w:val="20"/>
              </w:rPr>
            </w:pPr>
          </w:p>
        </w:tc>
        <w:tc>
          <w:tcPr>
            <w:tcW w:w="1069" w:type="dxa"/>
          </w:tcPr>
          <w:p w14:paraId="03D23346" w14:textId="77777777" w:rsidR="00A46BA5" w:rsidRPr="007D455C" w:rsidRDefault="00A46BA5" w:rsidP="00A46BA5">
            <w:pPr>
              <w:rPr>
                <w:rFonts w:ascii="Times New Roman" w:hAnsi="Times New Roman" w:cs="Times New Roman"/>
                <w:sz w:val="20"/>
                <w:szCs w:val="20"/>
              </w:rPr>
            </w:pPr>
          </w:p>
        </w:tc>
      </w:tr>
      <w:tr w:rsidR="00A46BA5" w:rsidRPr="007D455C" w14:paraId="23F91496" w14:textId="4C0BA761" w:rsidTr="00A219C1">
        <w:tc>
          <w:tcPr>
            <w:tcW w:w="1276" w:type="dxa"/>
            <w:shd w:val="clear" w:color="auto" w:fill="F2F2F2" w:themeFill="background1" w:themeFillShade="F2"/>
          </w:tcPr>
          <w:p w14:paraId="21A980D9" w14:textId="18BAF136" w:rsidR="00A46BA5" w:rsidRPr="00B609C7" w:rsidRDefault="00A46BA5" w:rsidP="00A46BA5">
            <w:pPr>
              <w:pStyle w:val="Default"/>
              <w:spacing w:after="25"/>
              <w:rPr>
                <w:rFonts w:ascii="Times New Roman" w:hAnsi="Times New Roman" w:cs="Times New Roman"/>
                <w:b/>
                <w:bCs/>
                <w:color w:val="auto"/>
                <w:sz w:val="20"/>
                <w:szCs w:val="20"/>
              </w:rPr>
            </w:pPr>
            <w:r w:rsidRPr="007E3812">
              <w:rPr>
                <w:rFonts w:ascii="Times New Roman" w:hAnsi="Times New Roman" w:cs="Times New Roman"/>
                <w:b/>
                <w:bCs/>
                <w:sz w:val="20"/>
                <w:szCs w:val="20"/>
              </w:rPr>
              <w:t>IT-10</w:t>
            </w:r>
            <w:r>
              <w:rPr>
                <w:rFonts w:ascii="Times New Roman" w:hAnsi="Times New Roman" w:cs="Times New Roman"/>
                <w:b/>
                <w:bCs/>
                <w:sz w:val="20"/>
                <w:szCs w:val="20"/>
              </w:rPr>
              <w:t>335</w:t>
            </w:r>
            <w:r w:rsidRPr="007E3812">
              <w:rPr>
                <w:rFonts w:ascii="Times New Roman" w:hAnsi="Times New Roman" w:cs="Times New Roman"/>
                <w:b/>
                <w:bCs/>
                <w:sz w:val="20"/>
                <w:szCs w:val="20"/>
              </w:rPr>
              <w:t>-0</w:t>
            </w:r>
            <w:r>
              <w:rPr>
                <w:rFonts w:ascii="Times New Roman" w:hAnsi="Times New Roman" w:cs="Times New Roman"/>
                <w:b/>
                <w:bCs/>
                <w:sz w:val="20"/>
                <w:szCs w:val="20"/>
              </w:rPr>
              <w:t>4</w:t>
            </w:r>
          </w:p>
        </w:tc>
        <w:tc>
          <w:tcPr>
            <w:tcW w:w="2977" w:type="dxa"/>
            <w:shd w:val="clear" w:color="auto" w:fill="D9D9D9" w:themeFill="background1" w:themeFillShade="D9"/>
          </w:tcPr>
          <w:p w14:paraId="2FFABFDF" w14:textId="2D8EBF71" w:rsidR="00A46BA5" w:rsidRPr="00A219C1" w:rsidRDefault="00CF075A" w:rsidP="00CF075A">
            <w:pPr>
              <w:pStyle w:val="Default"/>
              <w:autoSpaceDE/>
              <w:autoSpaceDN/>
              <w:adjustRightInd/>
              <w:jc w:val="both"/>
              <w:rPr>
                <w:rFonts w:ascii="Times New Roman" w:hAnsi="Times New Roman" w:cs="Times New Roman"/>
                <w:sz w:val="20"/>
                <w:szCs w:val="20"/>
              </w:rPr>
            </w:pPr>
            <w:r w:rsidRPr="00CF075A">
              <w:rPr>
                <w:rFonts w:ascii="Times New Roman" w:hAnsi="Times New Roman" w:cs="Times New Roman"/>
                <w:sz w:val="20"/>
                <w:szCs w:val="20"/>
              </w:rPr>
              <w:t>Si raccomanda all’Agenzia Nazionale per la Sicurezza delle Ferrovie e delle Infrastrutture Stradali e Autostradali di valutare l’opportunità di richiedere all’IF e GI EAV di emanare un provvedimento interno che evidenzi con chiarezza l’importanza, ai fini della sicurezza, della piena ottemperanza alle disposizioni regolamentari, accompagnato da un’adeguata azione di formazione degli operatori coinvolti, soprattutto con riferimento alle procedure di sicurezza da adottare per garantire l’esercizio della circolazione in regime di degrado dell’infrastruttura a causa del verificarsi di guasti.</w:t>
            </w:r>
          </w:p>
        </w:tc>
        <w:tc>
          <w:tcPr>
            <w:tcW w:w="2268" w:type="dxa"/>
            <w:shd w:val="clear" w:color="auto" w:fill="D9D9D9" w:themeFill="background1" w:themeFillShade="D9"/>
          </w:tcPr>
          <w:p w14:paraId="0BD9BD3A" w14:textId="7EC37C70" w:rsidR="00A46BA5" w:rsidRPr="007D455C" w:rsidRDefault="00A46BA5" w:rsidP="00A46BA5">
            <w:pPr>
              <w:jc w:val="center"/>
              <w:rPr>
                <w:rFonts w:ascii="Times New Roman" w:hAnsi="Times New Roman" w:cs="Times New Roman"/>
                <w:sz w:val="20"/>
                <w:szCs w:val="20"/>
              </w:rPr>
            </w:pPr>
            <w:proofErr w:type="spellStart"/>
            <w:r w:rsidRPr="00543B95">
              <w:rPr>
                <w:rFonts w:ascii="Times New Roman" w:hAnsi="Times New Roman" w:cs="Times New Roman"/>
                <w:color w:val="000000"/>
                <w:sz w:val="20"/>
                <w:szCs w:val="20"/>
              </w:rPr>
              <w:t>pm</w:t>
            </w:r>
            <w:proofErr w:type="spellEnd"/>
          </w:p>
        </w:tc>
        <w:tc>
          <w:tcPr>
            <w:tcW w:w="1651" w:type="dxa"/>
          </w:tcPr>
          <w:p w14:paraId="419FAC0C" w14:textId="043BF95B" w:rsidR="00A46BA5" w:rsidRPr="007D455C" w:rsidRDefault="00A46BA5" w:rsidP="00A46BA5">
            <w:pPr>
              <w:rPr>
                <w:rFonts w:ascii="Times New Roman" w:hAnsi="Times New Roman" w:cs="Times New Roman"/>
                <w:sz w:val="20"/>
                <w:szCs w:val="20"/>
              </w:rPr>
            </w:pPr>
          </w:p>
        </w:tc>
        <w:tc>
          <w:tcPr>
            <w:tcW w:w="1465" w:type="dxa"/>
          </w:tcPr>
          <w:p w14:paraId="259820A0" w14:textId="77777777" w:rsidR="00A46BA5" w:rsidRPr="007D455C" w:rsidRDefault="00A46BA5" w:rsidP="00A46BA5">
            <w:pPr>
              <w:rPr>
                <w:rFonts w:ascii="Times New Roman" w:hAnsi="Times New Roman" w:cs="Times New Roman"/>
                <w:sz w:val="20"/>
                <w:szCs w:val="20"/>
              </w:rPr>
            </w:pPr>
          </w:p>
        </w:tc>
        <w:tc>
          <w:tcPr>
            <w:tcW w:w="1340" w:type="dxa"/>
          </w:tcPr>
          <w:p w14:paraId="582872EA" w14:textId="77777777" w:rsidR="00A46BA5" w:rsidRPr="007D455C" w:rsidRDefault="00A46BA5" w:rsidP="00A46BA5">
            <w:pPr>
              <w:rPr>
                <w:rFonts w:ascii="Times New Roman" w:hAnsi="Times New Roman" w:cs="Times New Roman"/>
                <w:sz w:val="20"/>
                <w:szCs w:val="20"/>
              </w:rPr>
            </w:pPr>
          </w:p>
        </w:tc>
        <w:tc>
          <w:tcPr>
            <w:tcW w:w="1687" w:type="dxa"/>
          </w:tcPr>
          <w:p w14:paraId="22CD5E37" w14:textId="77777777" w:rsidR="00A46BA5" w:rsidRPr="007D455C" w:rsidRDefault="00A46BA5" w:rsidP="00A46BA5">
            <w:pPr>
              <w:rPr>
                <w:rFonts w:ascii="Times New Roman" w:hAnsi="Times New Roman" w:cs="Times New Roman"/>
                <w:sz w:val="20"/>
                <w:szCs w:val="20"/>
              </w:rPr>
            </w:pPr>
          </w:p>
        </w:tc>
        <w:tc>
          <w:tcPr>
            <w:tcW w:w="2002" w:type="dxa"/>
          </w:tcPr>
          <w:p w14:paraId="3BA42A57" w14:textId="77777777" w:rsidR="00A46BA5" w:rsidRPr="007D455C" w:rsidRDefault="00A46BA5" w:rsidP="00A46BA5">
            <w:pPr>
              <w:rPr>
                <w:rFonts w:ascii="Times New Roman" w:hAnsi="Times New Roman" w:cs="Times New Roman"/>
                <w:sz w:val="20"/>
                <w:szCs w:val="20"/>
              </w:rPr>
            </w:pPr>
          </w:p>
        </w:tc>
        <w:tc>
          <w:tcPr>
            <w:tcW w:w="1069" w:type="dxa"/>
          </w:tcPr>
          <w:p w14:paraId="06CBCCE3" w14:textId="77777777" w:rsidR="00A46BA5" w:rsidRDefault="00A46BA5" w:rsidP="00A46BA5">
            <w:pPr>
              <w:rPr>
                <w:rFonts w:ascii="Times New Roman" w:hAnsi="Times New Roman" w:cs="Times New Roman"/>
                <w:sz w:val="20"/>
                <w:szCs w:val="20"/>
              </w:rPr>
            </w:pPr>
          </w:p>
          <w:p w14:paraId="6B9EE2F3" w14:textId="77777777" w:rsidR="00A46BA5" w:rsidRPr="00C14DFE" w:rsidRDefault="00A46BA5" w:rsidP="00A46BA5">
            <w:pPr>
              <w:rPr>
                <w:rFonts w:ascii="Times New Roman" w:hAnsi="Times New Roman" w:cs="Times New Roman"/>
                <w:sz w:val="20"/>
                <w:szCs w:val="20"/>
              </w:rPr>
            </w:pPr>
          </w:p>
          <w:p w14:paraId="3C4E55AB" w14:textId="77777777" w:rsidR="00A46BA5" w:rsidRDefault="00A46BA5" w:rsidP="00A46BA5">
            <w:pPr>
              <w:rPr>
                <w:rFonts w:ascii="Times New Roman" w:hAnsi="Times New Roman" w:cs="Times New Roman"/>
                <w:sz w:val="20"/>
                <w:szCs w:val="20"/>
              </w:rPr>
            </w:pPr>
          </w:p>
          <w:p w14:paraId="4937EBF5" w14:textId="77777777" w:rsidR="00A46BA5" w:rsidRDefault="00A46BA5" w:rsidP="00A46BA5">
            <w:pPr>
              <w:rPr>
                <w:rFonts w:ascii="Times New Roman" w:hAnsi="Times New Roman" w:cs="Times New Roman"/>
                <w:sz w:val="20"/>
                <w:szCs w:val="20"/>
              </w:rPr>
            </w:pPr>
          </w:p>
          <w:p w14:paraId="76210E4D" w14:textId="2439672D" w:rsidR="00A46BA5" w:rsidRPr="00C14DFE" w:rsidRDefault="00A46BA5" w:rsidP="00A46BA5">
            <w:pPr>
              <w:rPr>
                <w:rFonts w:ascii="Times New Roman" w:hAnsi="Times New Roman" w:cs="Times New Roman"/>
                <w:sz w:val="20"/>
                <w:szCs w:val="20"/>
              </w:rPr>
            </w:pPr>
          </w:p>
        </w:tc>
      </w:tr>
      <w:tr w:rsidR="00CF075A" w:rsidRPr="007D455C" w14:paraId="52531497" w14:textId="77777777" w:rsidTr="00A219C1">
        <w:tc>
          <w:tcPr>
            <w:tcW w:w="1276" w:type="dxa"/>
            <w:shd w:val="clear" w:color="auto" w:fill="F2F2F2" w:themeFill="background1" w:themeFillShade="F2"/>
          </w:tcPr>
          <w:p w14:paraId="3063B84F" w14:textId="1137AE92" w:rsidR="00CF075A" w:rsidRPr="007E3812" w:rsidRDefault="00CF075A" w:rsidP="00A46BA5">
            <w:pPr>
              <w:pStyle w:val="Default"/>
              <w:spacing w:after="25"/>
              <w:rPr>
                <w:rFonts w:ascii="Times New Roman" w:hAnsi="Times New Roman" w:cs="Times New Roman"/>
                <w:b/>
                <w:bCs/>
                <w:sz w:val="20"/>
                <w:szCs w:val="20"/>
              </w:rPr>
            </w:pPr>
            <w:r w:rsidRPr="007E3812">
              <w:rPr>
                <w:rFonts w:ascii="Times New Roman" w:hAnsi="Times New Roman" w:cs="Times New Roman"/>
                <w:b/>
                <w:bCs/>
                <w:sz w:val="20"/>
                <w:szCs w:val="20"/>
              </w:rPr>
              <w:t>IT-10</w:t>
            </w:r>
            <w:r>
              <w:rPr>
                <w:rFonts w:ascii="Times New Roman" w:hAnsi="Times New Roman" w:cs="Times New Roman"/>
                <w:b/>
                <w:bCs/>
                <w:sz w:val="20"/>
                <w:szCs w:val="20"/>
              </w:rPr>
              <w:t>335</w:t>
            </w:r>
            <w:r w:rsidRPr="007E3812">
              <w:rPr>
                <w:rFonts w:ascii="Times New Roman" w:hAnsi="Times New Roman" w:cs="Times New Roman"/>
                <w:b/>
                <w:bCs/>
                <w:sz w:val="20"/>
                <w:szCs w:val="20"/>
              </w:rPr>
              <w:t>-0</w:t>
            </w:r>
            <w:r>
              <w:rPr>
                <w:rFonts w:ascii="Times New Roman" w:hAnsi="Times New Roman" w:cs="Times New Roman"/>
                <w:b/>
                <w:bCs/>
                <w:sz w:val="20"/>
                <w:szCs w:val="20"/>
              </w:rPr>
              <w:t>5</w:t>
            </w:r>
          </w:p>
        </w:tc>
        <w:tc>
          <w:tcPr>
            <w:tcW w:w="2977" w:type="dxa"/>
            <w:shd w:val="clear" w:color="auto" w:fill="D9D9D9" w:themeFill="background1" w:themeFillShade="D9"/>
          </w:tcPr>
          <w:p w14:paraId="7CA272E1" w14:textId="23EE38C1" w:rsidR="00CF075A" w:rsidRPr="00CF075A" w:rsidRDefault="00CF075A" w:rsidP="00CF075A">
            <w:pPr>
              <w:pStyle w:val="Default"/>
              <w:autoSpaceDE/>
              <w:autoSpaceDN/>
              <w:adjustRightInd/>
              <w:jc w:val="both"/>
              <w:rPr>
                <w:rFonts w:ascii="Times New Roman" w:hAnsi="Times New Roman" w:cs="Times New Roman"/>
                <w:sz w:val="20"/>
                <w:szCs w:val="20"/>
              </w:rPr>
            </w:pPr>
            <w:r w:rsidRPr="00CF075A">
              <w:rPr>
                <w:rFonts w:ascii="Times New Roman" w:hAnsi="Times New Roman" w:cs="Times New Roman"/>
                <w:sz w:val="20"/>
                <w:szCs w:val="20"/>
              </w:rPr>
              <w:t xml:space="preserve">Si raccomanda all’Agenzia Nazionale per la Sicurezza delle </w:t>
            </w:r>
            <w:r w:rsidRPr="00CF075A">
              <w:rPr>
                <w:rFonts w:ascii="Times New Roman" w:hAnsi="Times New Roman" w:cs="Times New Roman"/>
                <w:sz w:val="20"/>
                <w:szCs w:val="20"/>
              </w:rPr>
              <w:lastRenderedPageBreak/>
              <w:t>Ferrovie e delle Infrastrutture Stradali e Autostradali di adoperarsi affinché il GI EAV adotti misure atte a inibire l’accesso di terzi non autorizzati all’ambiente di lavoro del Dirigente Locale.</w:t>
            </w:r>
          </w:p>
        </w:tc>
        <w:tc>
          <w:tcPr>
            <w:tcW w:w="2268" w:type="dxa"/>
            <w:shd w:val="clear" w:color="auto" w:fill="D9D9D9" w:themeFill="background1" w:themeFillShade="D9"/>
          </w:tcPr>
          <w:p w14:paraId="7F1E2D2D" w14:textId="77777777" w:rsidR="00CF075A" w:rsidRPr="00543B95" w:rsidRDefault="00CF075A" w:rsidP="00A46BA5">
            <w:pPr>
              <w:jc w:val="center"/>
              <w:rPr>
                <w:rFonts w:ascii="Times New Roman" w:hAnsi="Times New Roman" w:cs="Times New Roman"/>
                <w:color w:val="000000"/>
                <w:sz w:val="20"/>
                <w:szCs w:val="20"/>
              </w:rPr>
            </w:pPr>
          </w:p>
        </w:tc>
        <w:tc>
          <w:tcPr>
            <w:tcW w:w="1651" w:type="dxa"/>
          </w:tcPr>
          <w:p w14:paraId="43B818E6" w14:textId="77777777" w:rsidR="00CF075A" w:rsidRPr="007D455C" w:rsidRDefault="00CF075A" w:rsidP="00A46BA5">
            <w:pPr>
              <w:rPr>
                <w:rFonts w:ascii="Times New Roman" w:hAnsi="Times New Roman" w:cs="Times New Roman"/>
                <w:sz w:val="20"/>
                <w:szCs w:val="20"/>
              </w:rPr>
            </w:pPr>
          </w:p>
        </w:tc>
        <w:tc>
          <w:tcPr>
            <w:tcW w:w="1465" w:type="dxa"/>
          </w:tcPr>
          <w:p w14:paraId="08A00BA5" w14:textId="77777777" w:rsidR="00CF075A" w:rsidRPr="007D455C" w:rsidRDefault="00CF075A" w:rsidP="00A46BA5">
            <w:pPr>
              <w:rPr>
                <w:rFonts w:ascii="Times New Roman" w:hAnsi="Times New Roman" w:cs="Times New Roman"/>
                <w:sz w:val="20"/>
                <w:szCs w:val="20"/>
              </w:rPr>
            </w:pPr>
          </w:p>
        </w:tc>
        <w:tc>
          <w:tcPr>
            <w:tcW w:w="1340" w:type="dxa"/>
          </w:tcPr>
          <w:p w14:paraId="7EEB757B" w14:textId="77777777" w:rsidR="00CF075A" w:rsidRPr="007D455C" w:rsidRDefault="00CF075A" w:rsidP="00A46BA5">
            <w:pPr>
              <w:rPr>
                <w:rFonts w:ascii="Times New Roman" w:hAnsi="Times New Roman" w:cs="Times New Roman"/>
                <w:sz w:val="20"/>
                <w:szCs w:val="20"/>
              </w:rPr>
            </w:pPr>
          </w:p>
        </w:tc>
        <w:tc>
          <w:tcPr>
            <w:tcW w:w="1687" w:type="dxa"/>
          </w:tcPr>
          <w:p w14:paraId="2A06E6E5" w14:textId="77777777" w:rsidR="00CF075A" w:rsidRPr="007D455C" w:rsidRDefault="00CF075A" w:rsidP="00A46BA5">
            <w:pPr>
              <w:rPr>
                <w:rFonts w:ascii="Times New Roman" w:hAnsi="Times New Roman" w:cs="Times New Roman"/>
                <w:sz w:val="20"/>
                <w:szCs w:val="20"/>
              </w:rPr>
            </w:pPr>
          </w:p>
        </w:tc>
        <w:tc>
          <w:tcPr>
            <w:tcW w:w="2002" w:type="dxa"/>
          </w:tcPr>
          <w:p w14:paraId="65D4B8BB" w14:textId="77777777" w:rsidR="00CF075A" w:rsidRPr="007D455C" w:rsidRDefault="00CF075A" w:rsidP="00A46BA5">
            <w:pPr>
              <w:rPr>
                <w:rFonts w:ascii="Times New Roman" w:hAnsi="Times New Roman" w:cs="Times New Roman"/>
                <w:sz w:val="20"/>
                <w:szCs w:val="20"/>
              </w:rPr>
            </w:pPr>
          </w:p>
        </w:tc>
        <w:tc>
          <w:tcPr>
            <w:tcW w:w="1069" w:type="dxa"/>
          </w:tcPr>
          <w:p w14:paraId="2CBFBA19" w14:textId="77777777" w:rsidR="00CF075A" w:rsidRDefault="00CF075A" w:rsidP="00A46BA5">
            <w:pPr>
              <w:rPr>
                <w:rFonts w:ascii="Times New Roman" w:hAnsi="Times New Roman" w:cs="Times New Roman"/>
                <w:sz w:val="20"/>
                <w:szCs w:val="20"/>
              </w:rPr>
            </w:pPr>
          </w:p>
        </w:tc>
      </w:tr>
      <w:tr w:rsidR="00254779" w:rsidRPr="007D455C" w14:paraId="6EAB311C" w14:textId="176A0D14" w:rsidTr="00A219C1">
        <w:trPr>
          <w:trHeight w:val="2557"/>
        </w:trPr>
        <w:tc>
          <w:tcPr>
            <w:tcW w:w="1276" w:type="dxa"/>
          </w:tcPr>
          <w:p w14:paraId="5D1516F8" w14:textId="77777777" w:rsidR="00254779" w:rsidRPr="007D455C" w:rsidRDefault="00254779" w:rsidP="00254265">
            <w:pPr>
              <w:rPr>
                <w:rFonts w:ascii="Times New Roman" w:hAnsi="Times New Roman" w:cs="Times New Roman"/>
                <w:sz w:val="20"/>
                <w:szCs w:val="20"/>
              </w:rPr>
            </w:pPr>
          </w:p>
        </w:tc>
        <w:tc>
          <w:tcPr>
            <w:tcW w:w="14459" w:type="dxa"/>
            <w:gridSpan w:val="8"/>
          </w:tcPr>
          <w:p w14:paraId="1E71C1E2" w14:textId="70C0F2BD" w:rsidR="00254779" w:rsidRPr="00254779" w:rsidRDefault="00254779" w:rsidP="00254265">
            <w:pPr>
              <w:rPr>
                <w:rFonts w:ascii="Times New Roman" w:hAnsi="Times New Roman" w:cs="Times New Roman"/>
                <w:b/>
                <w:bCs/>
                <w:sz w:val="20"/>
                <w:szCs w:val="20"/>
              </w:rPr>
            </w:pPr>
            <w:r w:rsidRPr="00254779">
              <w:rPr>
                <w:rFonts w:ascii="Times New Roman" w:hAnsi="Times New Roman" w:cs="Times New Roman"/>
                <w:b/>
                <w:bCs/>
                <w:sz w:val="20"/>
                <w:szCs w:val="20"/>
              </w:rPr>
              <w:t>NOTE PER LA COMPILAZIONE</w:t>
            </w:r>
          </w:p>
          <w:p w14:paraId="1A93FBE6" w14:textId="013EA970" w:rsidR="00254779" w:rsidRPr="007D455C" w:rsidRDefault="00DC1D2D" w:rsidP="00254779">
            <w:pPr>
              <w:rPr>
                <w:rFonts w:ascii="Times New Roman" w:hAnsi="Times New Roman" w:cs="Times New Roman"/>
                <w:sz w:val="20"/>
                <w:szCs w:val="20"/>
              </w:rPr>
            </w:pPr>
            <w:r w:rsidRPr="007D455C">
              <w:rPr>
                <w:rFonts w:ascii="Times New Roman" w:hAnsi="Times New Roman" w:cs="Times New Roman"/>
                <w:sz w:val="20"/>
                <w:szCs w:val="20"/>
              </w:rPr>
              <w:t xml:space="preserve">COLONNA </w:t>
            </w:r>
            <w:r w:rsidR="00254779" w:rsidRPr="007D455C">
              <w:rPr>
                <w:rFonts w:ascii="Times New Roman" w:hAnsi="Times New Roman" w:cs="Times New Roman"/>
                <w:sz w:val="20"/>
                <w:szCs w:val="20"/>
              </w:rPr>
              <w:t xml:space="preserve">II – </w:t>
            </w:r>
            <w:r w:rsidR="003210A8" w:rsidRPr="003210A8">
              <w:rPr>
                <w:rFonts w:ascii="Times New Roman" w:hAnsi="Times New Roman" w:cs="Times New Roman"/>
                <w:sz w:val="20"/>
                <w:szCs w:val="20"/>
              </w:rPr>
              <w:t xml:space="preserve">inserire una sintetica descrizione dell’esito della valutazione, </w:t>
            </w:r>
            <w:r w:rsidR="003210A8" w:rsidRPr="00A219C1">
              <w:rPr>
                <w:rFonts w:ascii="Times New Roman" w:hAnsi="Times New Roman" w:cs="Times New Roman"/>
                <w:sz w:val="20"/>
                <w:szCs w:val="20"/>
              </w:rPr>
              <w:t xml:space="preserve">inserendo </w:t>
            </w:r>
            <w:r w:rsidR="00254779" w:rsidRPr="00A219C1">
              <w:rPr>
                <w:rFonts w:ascii="Times New Roman" w:hAnsi="Times New Roman" w:cs="Times New Roman"/>
                <w:sz w:val="20"/>
                <w:szCs w:val="20"/>
              </w:rPr>
              <w:t>una delle seguenti diciture:</w:t>
            </w:r>
          </w:p>
          <w:p w14:paraId="3A33780F" w14:textId="77777777" w:rsidR="00254779" w:rsidRPr="007D455C" w:rsidRDefault="00254779" w:rsidP="00254779">
            <w:pPr>
              <w:pStyle w:val="Paragrafoelenco"/>
              <w:numPr>
                <w:ilvl w:val="0"/>
                <w:numId w:val="6"/>
              </w:numPr>
              <w:spacing w:line="240" w:lineRule="exact"/>
              <w:jc w:val="both"/>
              <w:rPr>
                <w:rFonts w:eastAsiaTheme="minorHAnsi"/>
                <w:sz w:val="20"/>
                <w:szCs w:val="20"/>
                <w:lang w:eastAsia="en-US"/>
              </w:rPr>
            </w:pPr>
            <w:r w:rsidRPr="007D455C">
              <w:rPr>
                <w:rFonts w:eastAsiaTheme="minorHAnsi"/>
                <w:sz w:val="20"/>
                <w:szCs w:val="20"/>
                <w:lang w:eastAsia="en-US"/>
              </w:rPr>
              <w:t>è stata adottata apportando modifiche al proprio sistema ed alle relative attività;</w:t>
            </w:r>
          </w:p>
          <w:p w14:paraId="6391AAC0" w14:textId="377ADF80" w:rsidR="00254779" w:rsidRPr="003210A8" w:rsidRDefault="00A0323A" w:rsidP="00254779">
            <w:pPr>
              <w:pStyle w:val="Paragrafoelenco"/>
              <w:numPr>
                <w:ilvl w:val="0"/>
                <w:numId w:val="6"/>
              </w:numPr>
              <w:spacing w:line="240" w:lineRule="exact"/>
              <w:jc w:val="both"/>
              <w:rPr>
                <w:rFonts w:eastAsiaTheme="minorHAnsi"/>
                <w:sz w:val="20"/>
                <w:szCs w:val="20"/>
                <w:lang w:eastAsia="en-US"/>
              </w:rPr>
            </w:pPr>
            <w:r w:rsidRPr="003210A8">
              <w:rPr>
                <w:rFonts w:eastAsiaTheme="minorHAnsi"/>
                <w:sz w:val="20"/>
                <w:szCs w:val="20"/>
                <w:lang w:eastAsia="en-US"/>
              </w:rPr>
              <w:t xml:space="preserve">non è stata adottata </w:t>
            </w:r>
            <w:r w:rsidR="00254779" w:rsidRPr="003210A8">
              <w:rPr>
                <w:rFonts w:eastAsiaTheme="minorHAnsi"/>
                <w:sz w:val="20"/>
                <w:szCs w:val="20"/>
                <w:lang w:eastAsia="en-US"/>
              </w:rPr>
              <w:t>in quanto già prevista dal sistema;</w:t>
            </w:r>
          </w:p>
          <w:p w14:paraId="665068DB" w14:textId="5F15DD46" w:rsidR="00254779" w:rsidRPr="003210A8" w:rsidRDefault="00254779" w:rsidP="00254779">
            <w:pPr>
              <w:pStyle w:val="Paragrafoelenco"/>
              <w:numPr>
                <w:ilvl w:val="0"/>
                <w:numId w:val="6"/>
              </w:numPr>
              <w:spacing w:line="240" w:lineRule="exact"/>
              <w:jc w:val="both"/>
              <w:rPr>
                <w:rFonts w:eastAsiaTheme="minorHAnsi"/>
                <w:sz w:val="20"/>
                <w:szCs w:val="20"/>
                <w:lang w:eastAsia="en-US"/>
              </w:rPr>
            </w:pPr>
            <w:r w:rsidRPr="003210A8">
              <w:rPr>
                <w:rFonts w:eastAsiaTheme="minorHAnsi"/>
                <w:sz w:val="20"/>
                <w:szCs w:val="20"/>
                <w:lang w:eastAsia="en-US"/>
              </w:rPr>
              <w:t>non è stat</w:t>
            </w:r>
            <w:r w:rsidR="00A0323A" w:rsidRPr="003210A8">
              <w:rPr>
                <w:rFonts w:eastAsiaTheme="minorHAnsi"/>
                <w:sz w:val="20"/>
                <w:szCs w:val="20"/>
                <w:lang w:eastAsia="en-US"/>
              </w:rPr>
              <w:t>a adottata in quanto non</w:t>
            </w:r>
            <w:r w:rsidRPr="003210A8">
              <w:rPr>
                <w:rFonts w:eastAsiaTheme="minorHAnsi"/>
                <w:sz w:val="20"/>
                <w:szCs w:val="20"/>
                <w:lang w:eastAsia="en-US"/>
              </w:rPr>
              <w:t xml:space="preserve"> necessari</w:t>
            </w:r>
            <w:r w:rsidR="00A0323A" w:rsidRPr="003210A8">
              <w:rPr>
                <w:rFonts w:eastAsiaTheme="minorHAnsi"/>
                <w:sz w:val="20"/>
                <w:szCs w:val="20"/>
                <w:lang w:eastAsia="en-US"/>
              </w:rPr>
              <w:t>a nel proprio contesto operativo</w:t>
            </w:r>
            <w:r w:rsidRPr="003210A8">
              <w:rPr>
                <w:rFonts w:eastAsiaTheme="minorHAnsi"/>
                <w:sz w:val="20"/>
                <w:szCs w:val="20"/>
                <w:lang w:eastAsia="en-US"/>
              </w:rPr>
              <w:t>.</w:t>
            </w:r>
          </w:p>
          <w:p w14:paraId="394D7A44" w14:textId="1F61EA16" w:rsidR="00254779" w:rsidRPr="003210A8" w:rsidRDefault="00254779" w:rsidP="00254779">
            <w:pPr>
              <w:spacing w:line="240" w:lineRule="exact"/>
              <w:jc w:val="both"/>
              <w:rPr>
                <w:rFonts w:ascii="Times New Roman" w:hAnsi="Times New Roman" w:cs="Times New Roman"/>
                <w:sz w:val="20"/>
                <w:szCs w:val="20"/>
              </w:rPr>
            </w:pPr>
            <w:r w:rsidRPr="003210A8">
              <w:rPr>
                <w:rFonts w:ascii="Times New Roman" w:hAnsi="Times New Roman" w:cs="Times New Roman"/>
                <w:sz w:val="20"/>
                <w:szCs w:val="20"/>
              </w:rPr>
              <w:t xml:space="preserve">Inserire il riferimento al testo della relazione sull’implementazione delle raccomandazioni dove sono </w:t>
            </w:r>
            <w:r w:rsidR="00DC1D2D" w:rsidRPr="003210A8">
              <w:rPr>
                <w:rFonts w:ascii="Times New Roman" w:hAnsi="Times New Roman" w:cs="Times New Roman"/>
                <w:sz w:val="20"/>
                <w:szCs w:val="20"/>
              </w:rPr>
              <w:t>illustrate</w:t>
            </w:r>
            <w:r w:rsidRPr="003210A8">
              <w:rPr>
                <w:rFonts w:ascii="Times New Roman" w:hAnsi="Times New Roman" w:cs="Times New Roman"/>
                <w:sz w:val="20"/>
                <w:szCs w:val="20"/>
              </w:rPr>
              <w:t xml:space="preserve"> le analisi a supporto della decisione.</w:t>
            </w:r>
          </w:p>
          <w:p w14:paraId="2E544115" w14:textId="6434B791" w:rsidR="00DC1D2D" w:rsidRPr="003210A8" w:rsidRDefault="00DC1D2D" w:rsidP="00254779">
            <w:pPr>
              <w:spacing w:line="240" w:lineRule="exact"/>
              <w:jc w:val="both"/>
              <w:rPr>
                <w:rFonts w:ascii="Times New Roman" w:hAnsi="Times New Roman" w:cs="Times New Roman"/>
                <w:sz w:val="20"/>
                <w:szCs w:val="20"/>
              </w:rPr>
            </w:pPr>
            <w:r w:rsidRPr="003210A8">
              <w:rPr>
                <w:rFonts w:ascii="Times New Roman" w:hAnsi="Times New Roman" w:cs="Times New Roman"/>
                <w:sz w:val="20"/>
                <w:szCs w:val="20"/>
              </w:rPr>
              <w:t xml:space="preserve">COLONNA </w:t>
            </w:r>
            <w:r w:rsidR="00254779" w:rsidRPr="003210A8">
              <w:rPr>
                <w:rFonts w:ascii="Times New Roman" w:hAnsi="Times New Roman" w:cs="Times New Roman"/>
                <w:sz w:val="20"/>
                <w:szCs w:val="20"/>
              </w:rPr>
              <w:t xml:space="preserve">III – inserire </w:t>
            </w:r>
            <w:r w:rsidRPr="003210A8">
              <w:rPr>
                <w:rFonts w:ascii="Times New Roman" w:hAnsi="Times New Roman" w:cs="Times New Roman"/>
                <w:sz w:val="20"/>
                <w:szCs w:val="20"/>
              </w:rPr>
              <w:t>una sintetica descrizione</w:t>
            </w:r>
            <w:r w:rsidR="00254779" w:rsidRPr="003210A8">
              <w:rPr>
                <w:rFonts w:ascii="Times New Roman" w:hAnsi="Times New Roman" w:cs="Times New Roman"/>
                <w:sz w:val="20"/>
                <w:szCs w:val="20"/>
              </w:rPr>
              <w:t xml:space="preserve"> dell</w:t>
            </w:r>
            <w:r w:rsidRPr="003210A8">
              <w:rPr>
                <w:rFonts w:ascii="Times New Roman" w:hAnsi="Times New Roman" w:cs="Times New Roman"/>
                <w:sz w:val="20"/>
                <w:szCs w:val="20"/>
              </w:rPr>
              <w:t>e</w:t>
            </w:r>
            <w:r w:rsidR="00254779" w:rsidRPr="003210A8">
              <w:rPr>
                <w:rFonts w:ascii="Times New Roman" w:hAnsi="Times New Roman" w:cs="Times New Roman"/>
                <w:sz w:val="20"/>
                <w:szCs w:val="20"/>
              </w:rPr>
              <w:t xml:space="preserve"> misure individuate </w:t>
            </w:r>
            <w:r w:rsidRPr="003210A8">
              <w:rPr>
                <w:rFonts w:ascii="Times New Roman" w:hAnsi="Times New Roman" w:cs="Times New Roman"/>
                <w:sz w:val="20"/>
                <w:szCs w:val="20"/>
              </w:rPr>
              <w:t>identificando i process</w:t>
            </w:r>
            <w:r w:rsidR="009012A3" w:rsidRPr="003210A8">
              <w:rPr>
                <w:rFonts w:ascii="Times New Roman" w:hAnsi="Times New Roman" w:cs="Times New Roman"/>
                <w:sz w:val="20"/>
                <w:szCs w:val="20"/>
              </w:rPr>
              <w:t>i</w:t>
            </w:r>
            <w:r w:rsidRPr="003210A8">
              <w:rPr>
                <w:rFonts w:ascii="Times New Roman" w:hAnsi="Times New Roman" w:cs="Times New Roman"/>
                <w:sz w:val="20"/>
                <w:szCs w:val="20"/>
              </w:rPr>
              <w:t xml:space="preserve"> di SGS </w:t>
            </w:r>
            <w:r w:rsidR="009012A3" w:rsidRPr="003210A8">
              <w:rPr>
                <w:rFonts w:ascii="Times New Roman" w:hAnsi="Times New Roman" w:cs="Times New Roman"/>
                <w:sz w:val="20"/>
                <w:szCs w:val="20"/>
              </w:rPr>
              <w:t>coinvolti</w:t>
            </w:r>
            <w:r w:rsidRPr="003210A8">
              <w:rPr>
                <w:rFonts w:ascii="Times New Roman" w:hAnsi="Times New Roman" w:cs="Times New Roman"/>
                <w:sz w:val="20"/>
                <w:szCs w:val="20"/>
              </w:rPr>
              <w:t xml:space="preserve"> </w:t>
            </w:r>
            <w:r w:rsidR="00254779" w:rsidRPr="003210A8">
              <w:rPr>
                <w:rFonts w:ascii="Times New Roman" w:hAnsi="Times New Roman" w:cs="Times New Roman"/>
                <w:sz w:val="20"/>
                <w:szCs w:val="20"/>
              </w:rPr>
              <w:t xml:space="preserve">e </w:t>
            </w:r>
            <w:r w:rsidRPr="003210A8">
              <w:rPr>
                <w:rFonts w:ascii="Times New Roman" w:hAnsi="Times New Roman" w:cs="Times New Roman"/>
                <w:sz w:val="20"/>
                <w:szCs w:val="20"/>
              </w:rPr>
              <w:t>la sezione esplicativa di riferimento nella relazione.</w:t>
            </w:r>
          </w:p>
          <w:p w14:paraId="5F52CA18" w14:textId="2D76E83C" w:rsidR="00254779" w:rsidRPr="007D455C" w:rsidRDefault="00DC1D2D" w:rsidP="00254779">
            <w:pPr>
              <w:spacing w:line="240" w:lineRule="exact"/>
              <w:jc w:val="both"/>
              <w:rPr>
                <w:rFonts w:ascii="Times New Roman" w:hAnsi="Times New Roman" w:cs="Times New Roman"/>
                <w:sz w:val="20"/>
                <w:szCs w:val="20"/>
              </w:rPr>
            </w:pPr>
            <w:r w:rsidRPr="003210A8">
              <w:rPr>
                <w:rFonts w:ascii="Times New Roman" w:hAnsi="Times New Roman" w:cs="Times New Roman"/>
                <w:sz w:val="20"/>
                <w:szCs w:val="20"/>
              </w:rPr>
              <w:t xml:space="preserve">COLONNA </w:t>
            </w:r>
            <w:r w:rsidR="00254779" w:rsidRPr="003210A8">
              <w:rPr>
                <w:rFonts w:ascii="Times New Roman" w:hAnsi="Times New Roman" w:cs="Times New Roman"/>
                <w:sz w:val="20"/>
                <w:szCs w:val="20"/>
              </w:rPr>
              <w:t xml:space="preserve">IV - indicare se </w:t>
            </w:r>
            <w:r w:rsidR="00330BE1" w:rsidRPr="003210A8">
              <w:rPr>
                <w:rFonts w:ascii="Times New Roman" w:hAnsi="Times New Roman" w:cs="Times New Roman"/>
                <w:sz w:val="20"/>
                <w:szCs w:val="20"/>
              </w:rPr>
              <w:t>è stato redatto un</w:t>
            </w:r>
            <w:r w:rsidR="00254779" w:rsidRPr="003210A8">
              <w:rPr>
                <w:rFonts w:ascii="Times New Roman" w:hAnsi="Times New Roman" w:cs="Times New Roman"/>
                <w:sz w:val="20"/>
                <w:szCs w:val="20"/>
              </w:rPr>
              <w:t xml:space="preserve"> programma </w:t>
            </w:r>
            <w:r w:rsidR="00330BE1" w:rsidRPr="003210A8">
              <w:rPr>
                <w:rFonts w:ascii="Times New Roman" w:hAnsi="Times New Roman" w:cs="Times New Roman"/>
                <w:sz w:val="20"/>
                <w:szCs w:val="20"/>
              </w:rPr>
              <w:t>di attuazione</w:t>
            </w:r>
            <w:r w:rsidR="00254779" w:rsidRPr="003210A8">
              <w:rPr>
                <w:rFonts w:ascii="Times New Roman" w:hAnsi="Times New Roman" w:cs="Times New Roman"/>
                <w:sz w:val="20"/>
                <w:szCs w:val="20"/>
              </w:rPr>
              <w:t xml:space="preserve"> e</w:t>
            </w:r>
            <w:r w:rsidRPr="003210A8">
              <w:rPr>
                <w:rFonts w:ascii="Times New Roman" w:hAnsi="Times New Roman" w:cs="Times New Roman"/>
                <w:sz w:val="20"/>
                <w:szCs w:val="20"/>
              </w:rPr>
              <w:t xml:space="preserve">, </w:t>
            </w:r>
            <w:r w:rsidR="00330BE1" w:rsidRPr="003210A8">
              <w:rPr>
                <w:rFonts w:ascii="Times New Roman" w:hAnsi="Times New Roman" w:cs="Times New Roman"/>
                <w:sz w:val="20"/>
                <w:szCs w:val="20"/>
              </w:rPr>
              <w:t>n</w:t>
            </w:r>
            <w:r w:rsidRPr="003210A8">
              <w:rPr>
                <w:rFonts w:ascii="Times New Roman" w:hAnsi="Times New Roman" w:cs="Times New Roman"/>
                <w:sz w:val="20"/>
                <w:szCs w:val="20"/>
              </w:rPr>
              <w:t>el caso, la sezione esplicativa di riferimento della</w:t>
            </w:r>
            <w:r w:rsidR="00254779" w:rsidRPr="003210A8">
              <w:rPr>
                <w:rFonts w:ascii="Times New Roman" w:hAnsi="Times New Roman" w:cs="Times New Roman"/>
                <w:sz w:val="20"/>
                <w:szCs w:val="20"/>
              </w:rPr>
              <w:t xml:space="preserve"> relazione</w:t>
            </w:r>
            <w:r w:rsidRPr="003210A8">
              <w:rPr>
                <w:rFonts w:ascii="Times New Roman" w:hAnsi="Times New Roman" w:cs="Times New Roman"/>
                <w:sz w:val="20"/>
                <w:szCs w:val="20"/>
              </w:rPr>
              <w:t>.</w:t>
            </w:r>
          </w:p>
          <w:p w14:paraId="67D02F57" w14:textId="53FE4761" w:rsidR="00254779" w:rsidRPr="003210A8" w:rsidRDefault="00DC1D2D" w:rsidP="00254779">
            <w:pPr>
              <w:spacing w:line="240" w:lineRule="exact"/>
              <w:jc w:val="both"/>
              <w:rPr>
                <w:rFonts w:ascii="Times New Roman" w:hAnsi="Times New Roman" w:cs="Times New Roman"/>
                <w:sz w:val="20"/>
                <w:szCs w:val="20"/>
              </w:rPr>
            </w:pPr>
            <w:r w:rsidRPr="007D455C">
              <w:rPr>
                <w:rFonts w:ascii="Times New Roman" w:hAnsi="Times New Roman" w:cs="Times New Roman"/>
                <w:sz w:val="20"/>
                <w:szCs w:val="20"/>
              </w:rPr>
              <w:t xml:space="preserve">COLONNA </w:t>
            </w:r>
            <w:r w:rsidR="00254779" w:rsidRPr="007D455C">
              <w:rPr>
                <w:rFonts w:ascii="Times New Roman" w:hAnsi="Times New Roman" w:cs="Times New Roman"/>
                <w:sz w:val="20"/>
                <w:szCs w:val="20"/>
              </w:rPr>
              <w:t xml:space="preserve">V – </w:t>
            </w:r>
            <w:r w:rsidR="00254779" w:rsidRPr="003210A8">
              <w:rPr>
                <w:rFonts w:ascii="Times New Roman" w:hAnsi="Times New Roman" w:cs="Times New Roman"/>
                <w:sz w:val="20"/>
                <w:szCs w:val="20"/>
              </w:rPr>
              <w:t xml:space="preserve">indicare lo stato di implementazione del programma </w:t>
            </w:r>
            <w:r w:rsidR="004D2711" w:rsidRPr="003210A8">
              <w:rPr>
                <w:rFonts w:ascii="Times New Roman" w:hAnsi="Times New Roman" w:cs="Times New Roman"/>
                <w:sz w:val="20"/>
                <w:szCs w:val="20"/>
              </w:rPr>
              <w:t xml:space="preserve">di attuazione </w:t>
            </w:r>
            <w:r w:rsidR="00254779" w:rsidRPr="003210A8">
              <w:rPr>
                <w:rFonts w:ascii="Times New Roman" w:hAnsi="Times New Roman" w:cs="Times New Roman"/>
                <w:sz w:val="20"/>
                <w:szCs w:val="20"/>
              </w:rPr>
              <w:t>(Totale, Parziale o Nullo)</w:t>
            </w:r>
          </w:p>
          <w:p w14:paraId="745FB008" w14:textId="43470C50" w:rsidR="00DC1D2D" w:rsidRPr="003210A8" w:rsidRDefault="00DC1D2D" w:rsidP="00DC1D2D">
            <w:pPr>
              <w:spacing w:line="240" w:lineRule="exact"/>
              <w:jc w:val="both"/>
              <w:rPr>
                <w:rFonts w:ascii="Times New Roman" w:hAnsi="Times New Roman" w:cs="Times New Roman"/>
                <w:sz w:val="20"/>
                <w:szCs w:val="20"/>
              </w:rPr>
            </w:pPr>
            <w:r w:rsidRPr="003210A8">
              <w:rPr>
                <w:rFonts w:ascii="Times New Roman" w:hAnsi="Times New Roman" w:cs="Times New Roman"/>
                <w:sz w:val="20"/>
                <w:szCs w:val="20"/>
              </w:rPr>
              <w:t xml:space="preserve">COLONNA </w:t>
            </w:r>
            <w:r w:rsidR="00254779" w:rsidRPr="003210A8">
              <w:rPr>
                <w:rFonts w:ascii="Times New Roman" w:hAnsi="Times New Roman" w:cs="Times New Roman"/>
                <w:sz w:val="20"/>
                <w:szCs w:val="20"/>
              </w:rPr>
              <w:t xml:space="preserve">VI - inserire </w:t>
            </w:r>
            <w:r w:rsidRPr="003210A8">
              <w:rPr>
                <w:rFonts w:ascii="Times New Roman" w:hAnsi="Times New Roman" w:cs="Times New Roman"/>
                <w:sz w:val="20"/>
                <w:szCs w:val="20"/>
              </w:rPr>
              <w:t>una sintetica descrizione delle misure identificando i process</w:t>
            </w:r>
            <w:r w:rsidR="009012A3" w:rsidRPr="003210A8">
              <w:rPr>
                <w:rFonts w:ascii="Times New Roman" w:hAnsi="Times New Roman" w:cs="Times New Roman"/>
                <w:sz w:val="20"/>
                <w:szCs w:val="20"/>
              </w:rPr>
              <w:t>i</w:t>
            </w:r>
            <w:r w:rsidRPr="003210A8">
              <w:rPr>
                <w:rFonts w:ascii="Times New Roman" w:hAnsi="Times New Roman" w:cs="Times New Roman"/>
                <w:sz w:val="20"/>
                <w:szCs w:val="20"/>
              </w:rPr>
              <w:t xml:space="preserve"> di SGS </w:t>
            </w:r>
            <w:r w:rsidR="009012A3" w:rsidRPr="003210A8">
              <w:rPr>
                <w:rFonts w:ascii="Times New Roman" w:hAnsi="Times New Roman" w:cs="Times New Roman"/>
                <w:sz w:val="20"/>
                <w:szCs w:val="20"/>
              </w:rPr>
              <w:t>coinvolti</w:t>
            </w:r>
            <w:r w:rsidRPr="003210A8">
              <w:rPr>
                <w:rFonts w:ascii="Times New Roman" w:hAnsi="Times New Roman" w:cs="Times New Roman"/>
                <w:sz w:val="20"/>
                <w:szCs w:val="20"/>
              </w:rPr>
              <w:t xml:space="preserve"> e la sezione esplicativa di riferimento nella relazione.</w:t>
            </w:r>
          </w:p>
          <w:p w14:paraId="323321FA" w14:textId="4C31CC49" w:rsidR="003210A8" w:rsidRPr="007D455C" w:rsidRDefault="00DC1D2D" w:rsidP="00DC1D2D">
            <w:pPr>
              <w:spacing w:line="240" w:lineRule="exact"/>
              <w:jc w:val="both"/>
              <w:rPr>
                <w:rFonts w:ascii="Times New Roman" w:hAnsi="Times New Roman" w:cs="Times New Roman"/>
                <w:sz w:val="20"/>
                <w:szCs w:val="20"/>
              </w:rPr>
            </w:pPr>
            <w:r w:rsidRPr="003210A8">
              <w:rPr>
                <w:rFonts w:ascii="Times New Roman" w:hAnsi="Times New Roman" w:cs="Times New Roman"/>
                <w:sz w:val="20"/>
                <w:szCs w:val="20"/>
              </w:rPr>
              <w:t xml:space="preserve">COLONNA </w:t>
            </w:r>
            <w:r w:rsidR="00254779" w:rsidRPr="003210A8">
              <w:rPr>
                <w:rFonts w:ascii="Times New Roman" w:hAnsi="Times New Roman" w:cs="Times New Roman"/>
                <w:sz w:val="20"/>
                <w:szCs w:val="20"/>
              </w:rPr>
              <w:t>VII –</w:t>
            </w:r>
            <w:r w:rsidRPr="003210A8">
              <w:rPr>
                <w:rFonts w:ascii="Times New Roman" w:hAnsi="Times New Roman" w:cs="Times New Roman"/>
                <w:sz w:val="20"/>
                <w:szCs w:val="20"/>
              </w:rPr>
              <w:t>indicare la sezione esplicativa di riferimento nella relazione.</w:t>
            </w:r>
          </w:p>
        </w:tc>
      </w:tr>
    </w:tbl>
    <w:p w14:paraId="215B52EC" w14:textId="77777777" w:rsidR="00C14DFE" w:rsidRDefault="00C14DFE" w:rsidP="00254779">
      <w:pPr>
        <w:spacing w:before="120" w:after="0"/>
        <w:ind w:right="1247"/>
        <w:jc w:val="right"/>
        <w:rPr>
          <w:rFonts w:ascii="Times New Roman" w:hAnsi="Times New Roman" w:cs="Times New Roman"/>
          <w:b/>
          <w:bCs/>
          <w:sz w:val="28"/>
          <w:szCs w:val="28"/>
        </w:rPr>
      </w:pPr>
    </w:p>
    <w:p w14:paraId="1D22D1A5" w14:textId="5DD722B5" w:rsidR="00930462" w:rsidRPr="00254779" w:rsidRDefault="00930462" w:rsidP="00254779">
      <w:pPr>
        <w:spacing w:before="120" w:after="0"/>
        <w:ind w:right="1247"/>
        <w:jc w:val="right"/>
        <w:rPr>
          <w:rFonts w:ascii="Times New Roman" w:hAnsi="Times New Roman" w:cs="Times New Roman"/>
          <w:b/>
          <w:bCs/>
          <w:sz w:val="28"/>
          <w:szCs w:val="28"/>
        </w:rPr>
      </w:pPr>
      <w:r w:rsidRPr="00254779">
        <w:rPr>
          <w:rFonts w:ascii="Times New Roman" w:hAnsi="Times New Roman" w:cs="Times New Roman"/>
          <w:b/>
          <w:bCs/>
          <w:sz w:val="28"/>
          <w:szCs w:val="28"/>
        </w:rPr>
        <w:t>Firma</w:t>
      </w:r>
    </w:p>
    <w:sectPr w:rsidR="00930462" w:rsidRPr="00254779" w:rsidSect="007652CC">
      <w:headerReference w:type="default" r:id="rId7"/>
      <w:footerReference w:type="default" r:id="rId8"/>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7826E" w14:textId="77777777" w:rsidR="00DA5627" w:rsidRDefault="00DA5627" w:rsidP="00C8549B">
      <w:pPr>
        <w:spacing w:after="0" w:line="240" w:lineRule="auto"/>
      </w:pPr>
      <w:r>
        <w:separator/>
      </w:r>
    </w:p>
  </w:endnote>
  <w:endnote w:type="continuationSeparator" w:id="0">
    <w:p w14:paraId="4A5DC8C9" w14:textId="77777777" w:rsidR="00DA5627" w:rsidRDefault="00DA5627" w:rsidP="00C85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imes New Roman (Corpo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082256"/>
      <w:docPartObj>
        <w:docPartGallery w:val="Page Numbers (Bottom of Page)"/>
        <w:docPartUnique/>
      </w:docPartObj>
    </w:sdtPr>
    <w:sdtEndPr>
      <w:rPr>
        <w:rFonts w:ascii="Times New Roman" w:hAnsi="Times New Roman" w:cs="Times New Roman"/>
      </w:rPr>
    </w:sdtEndPr>
    <w:sdtContent>
      <w:p w14:paraId="5E84E13A" w14:textId="18B22D2C" w:rsidR="00C14DFE" w:rsidRPr="00C14DFE" w:rsidRDefault="00C14DFE">
        <w:pPr>
          <w:pStyle w:val="Pidipagina"/>
          <w:jc w:val="right"/>
          <w:rPr>
            <w:rFonts w:ascii="Times New Roman" w:hAnsi="Times New Roman" w:cs="Times New Roman"/>
          </w:rPr>
        </w:pPr>
        <w:r w:rsidRPr="00C14DFE">
          <w:rPr>
            <w:rFonts w:ascii="Times New Roman" w:hAnsi="Times New Roman" w:cs="Times New Roman"/>
          </w:rPr>
          <w:fldChar w:fldCharType="begin"/>
        </w:r>
        <w:r w:rsidRPr="00C14DFE">
          <w:rPr>
            <w:rFonts w:ascii="Times New Roman" w:hAnsi="Times New Roman" w:cs="Times New Roman"/>
          </w:rPr>
          <w:instrText>PAGE   \* MERGEFORMAT</w:instrText>
        </w:r>
        <w:r w:rsidRPr="00C14DFE">
          <w:rPr>
            <w:rFonts w:ascii="Times New Roman" w:hAnsi="Times New Roman" w:cs="Times New Roman"/>
          </w:rPr>
          <w:fldChar w:fldCharType="separate"/>
        </w:r>
        <w:r w:rsidRPr="00C14DFE">
          <w:rPr>
            <w:rFonts w:ascii="Times New Roman" w:hAnsi="Times New Roman" w:cs="Times New Roman"/>
          </w:rPr>
          <w:t>2</w:t>
        </w:r>
        <w:r w:rsidRPr="00C14DFE">
          <w:rPr>
            <w:rFonts w:ascii="Times New Roman" w:hAnsi="Times New Roman" w:cs="Times New Roman"/>
          </w:rPr>
          <w:fldChar w:fldCharType="end"/>
        </w:r>
      </w:p>
    </w:sdtContent>
  </w:sdt>
  <w:p w14:paraId="524AB087" w14:textId="77777777" w:rsidR="00C14DFE" w:rsidRDefault="00C14DF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C2F5B" w14:textId="77777777" w:rsidR="00DA5627" w:rsidRDefault="00DA5627" w:rsidP="00C8549B">
      <w:pPr>
        <w:spacing w:after="0" w:line="240" w:lineRule="auto"/>
      </w:pPr>
      <w:r>
        <w:separator/>
      </w:r>
    </w:p>
  </w:footnote>
  <w:footnote w:type="continuationSeparator" w:id="0">
    <w:p w14:paraId="6037E323" w14:textId="77777777" w:rsidR="00DA5627" w:rsidRDefault="00DA5627" w:rsidP="00C85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C0FC" w14:textId="77777777" w:rsidR="0083310F" w:rsidRDefault="007D455C" w:rsidP="00201C29">
    <w:pPr>
      <w:pStyle w:val="Intestazione"/>
      <w:jc w:val="center"/>
      <w:rPr>
        <w:rFonts w:ascii="Times New Roman" w:hAnsi="Times New Roman" w:cs="Times New Roman"/>
        <w:b/>
        <w:bCs/>
        <w:sz w:val="24"/>
        <w:szCs w:val="24"/>
      </w:rPr>
    </w:pPr>
    <w:r w:rsidRPr="00B609C7">
      <w:rPr>
        <w:rFonts w:ascii="Times New Roman" w:hAnsi="Times New Roman" w:cs="Times New Roman"/>
        <w:b/>
        <w:bCs/>
        <w:sz w:val="24"/>
        <w:szCs w:val="24"/>
      </w:rPr>
      <w:t xml:space="preserve">SCHEDA RIEPILOGATIVA sullo stato di attuazione delle misure di cui all’art. 26 comma 2 del </w:t>
    </w:r>
    <w:proofErr w:type="spellStart"/>
    <w:r w:rsidRPr="00B609C7">
      <w:rPr>
        <w:rFonts w:ascii="Times New Roman" w:hAnsi="Times New Roman" w:cs="Times New Roman"/>
        <w:b/>
        <w:bCs/>
        <w:sz w:val="24"/>
        <w:szCs w:val="24"/>
      </w:rPr>
      <w:t>D.Lgs.</w:t>
    </w:r>
    <w:proofErr w:type="spellEnd"/>
    <w:r w:rsidRPr="00B609C7">
      <w:rPr>
        <w:rFonts w:ascii="Times New Roman" w:hAnsi="Times New Roman" w:cs="Times New Roman"/>
        <w:b/>
        <w:bCs/>
        <w:sz w:val="24"/>
        <w:szCs w:val="24"/>
      </w:rPr>
      <w:t xml:space="preserve"> 50/2019 </w:t>
    </w:r>
  </w:p>
  <w:p w14:paraId="42F75563" w14:textId="00D00AA7" w:rsidR="004738B5" w:rsidRPr="00543B95" w:rsidRDefault="00543B95" w:rsidP="00543B95">
    <w:pPr>
      <w:pStyle w:val="Intestazione"/>
      <w:jc w:val="center"/>
      <w:rPr>
        <w:rFonts w:ascii="Times New Roman" w:hAnsi="Times New Roman" w:cs="Times New Roman"/>
        <w:b/>
        <w:bCs/>
        <w:sz w:val="24"/>
        <w:szCs w:val="24"/>
      </w:rPr>
    </w:pPr>
    <w:r w:rsidRPr="00543B95">
      <w:rPr>
        <w:rFonts w:ascii="Times New Roman" w:hAnsi="Times New Roman" w:cs="Times New Roman"/>
        <w:color w:val="000000"/>
        <w:sz w:val="24"/>
        <w:szCs w:val="24"/>
      </w:rPr>
      <w:t xml:space="preserve"> </w:t>
    </w:r>
    <w:r w:rsidRPr="00543B95">
      <w:rPr>
        <w:rFonts w:ascii="Times New Roman" w:hAnsi="Times New Roman" w:cs="Times New Roman"/>
        <w:b/>
        <w:bCs/>
        <w:sz w:val="24"/>
        <w:szCs w:val="24"/>
      </w:rPr>
      <w:t>Svio del treno n. 4132 di EAV presso la stazione di Pompei Santuario del 7/11/2022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16AD1"/>
    <w:multiLevelType w:val="hybridMultilevel"/>
    <w:tmpl w:val="458450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951157"/>
    <w:multiLevelType w:val="hybridMultilevel"/>
    <w:tmpl w:val="F31E61CC"/>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2EF2566"/>
    <w:multiLevelType w:val="hybridMultilevel"/>
    <w:tmpl w:val="E70EAE4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4D6365E"/>
    <w:multiLevelType w:val="hybridMultilevel"/>
    <w:tmpl w:val="EEE4632C"/>
    <w:lvl w:ilvl="0" w:tplc="0410000F">
      <w:start w:val="1"/>
      <w:numFmt w:val="decimal"/>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3795085B"/>
    <w:multiLevelType w:val="hybridMultilevel"/>
    <w:tmpl w:val="9710A61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40901931"/>
    <w:multiLevelType w:val="hybridMultilevel"/>
    <w:tmpl w:val="57001826"/>
    <w:lvl w:ilvl="0" w:tplc="04100005">
      <w:start w:val="1"/>
      <w:numFmt w:val="bullet"/>
      <w:lvlText w:val=""/>
      <w:lvlJc w:val="left"/>
      <w:pPr>
        <w:ind w:left="1068" w:hanging="360"/>
      </w:pPr>
      <w:rPr>
        <w:rFonts w:ascii="Wingdings" w:hAnsi="Wingding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 w15:restartNumberingAfterBreak="0">
    <w:nsid w:val="7C464DE7"/>
    <w:multiLevelType w:val="hybridMultilevel"/>
    <w:tmpl w:val="613CCA9A"/>
    <w:lvl w:ilvl="0" w:tplc="7E947A7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CEF3836"/>
    <w:multiLevelType w:val="hybridMultilevel"/>
    <w:tmpl w:val="6D2218CE"/>
    <w:lvl w:ilvl="0" w:tplc="B1FCA878">
      <w:start w:val="1"/>
      <w:numFmt w:val="bullet"/>
      <w:lvlText w:val="-"/>
      <w:lvlJc w:val="left"/>
      <w:pPr>
        <w:ind w:left="720" w:hanging="360"/>
      </w:pPr>
      <w:rPr>
        <w:rFonts w:ascii="Myriad Pro" w:eastAsiaTheme="minorHAnsi" w:hAnsi="Myriad Pro" w:cs="Times New Roman (Corpo C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08872555">
    <w:abstractNumId w:val="3"/>
  </w:num>
  <w:num w:numId="2" w16cid:durableId="1190680691">
    <w:abstractNumId w:val="7"/>
  </w:num>
  <w:num w:numId="3" w16cid:durableId="171453910">
    <w:abstractNumId w:val="0"/>
  </w:num>
  <w:num w:numId="4" w16cid:durableId="464658408">
    <w:abstractNumId w:val="6"/>
  </w:num>
  <w:num w:numId="5" w16cid:durableId="1334064491">
    <w:abstractNumId w:val="2"/>
  </w:num>
  <w:num w:numId="6" w16cid:durableId="813062880">
    <w:abstractNumId w:val="5"/>
  </w:num>
  <w:num w:numId="7" w16cid:durableId="1795054251">
    <w:abstractNumId w:val="1"/>
  </w:num>
  <w:num w:numId="8" w16cid:durableId="13497950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D5"/>
    <w:rsid w:val="00006C5D"/>
    <w:rsid w:val="00023745"/>
    <w:rsid w:val="00073210"/>
    <w:rsid w:val="000949A2"/>
    <w:rsid w:val="000B06A4"/>
    <w:rsid w:val="000C7D63"/>
    <w:rsid w:val="00166FF7"/>
    <w:rsid w:val="00201C29"/>
    <w:rsid w:val="00243508"/>
    <w:rsid w:val="00254265"/>
    <w:rsid w:val="00254779"/>
    <w:rsid w:val="002A2D19"/>
    <w:rsid w:val="002D6486"/>
    <w:rsid w:val="003210A8"/>
    <w:rsid w:val="00330BE1"/>
    <w:rsid w:val="003A0305"/>
    <w:rsid w:val="003F21A5"/>
    <w:rsid w:val="004738B5"/>
    <w:rsid w:val="00483D25"/>
    <w:rsid w:val="004D2711"/>
    <w:rsid w:val="0051329C"/>
    <w:rsid w:val="00543B95"/>
    <w:rsid w:val="00594188"/>
    <w:rsid w:val="005C7099"/>
    <w:rsid w:val="00606D5F"/>
    <w:rsid w:val="006434D9"/>
    <w:rsid w:val="006C610E"/>
    <w:rsid w:val="007652CC"/>
    <w:rsid w:val="007731DC"/>
    <w:rsid w:val="007B1464"/>
    <w:rsid w:val="007D455C"/>
    <w:rsid w:val="007E3812"/>
    <w:rsid w:val="007F098F"/>
    <w:rsid w:val="0083310F"/>
    <w:rsid w:val="009012A3"/>
    <w:rsid w:val="00907B20"/>
    <w:rsid w:val="00930462"/>
    <w:rsid w:val="00942736"/>
    <w:rsid w:val="009E3313"/>
    <w:rsid w:val="00A0323A"/>
    <w:rsid w:val="00A219C1"/>
    <w:rsid w:val="00A35FD5"/>
    <w:rsid w:val="00A46BA5"/>
    <w:rsid w:val="00A54D54"/>
    <w:rsid w:val="00A562D5"/>
    <w:rsid w:val="00A601E6"/>
    <w:rsid w:val="00A643A0"/>
    <w:rsid w:val="00A64EA8"/>
    <w:rsid w:val="00A65C50"/>
    <w:rsid w:val="00AA3A2C"/>
    <w:rsid w:val="00B072F1"/>
    <w:rsid w:val="00B609C7"/>
    <w:rsid w:val="00B634DE"/>
    <w:rsid w:val="00B76803"/>
    <w:rsid w:val="00C14DFE"/>
    <w:rsid w:val="00C8549B"/>
    <w:rsid w:val="00CC6CCD"/>
    <w:rsid w:val="00CF075A"/>
    <w:rsid w:val="00DA5627"/>
    <w:rsid w:val="00DC1D2D"/>
    <w:rsid w:val="00E17028"/>
    <w:rsid w:val="00E215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7E6E8"/>
  <w15:chartTrackingRefBased/>
  <w15:docId w15:val="{EEDB414B-55CA-4F34-9FBA-88C89F95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35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5FD5"/>
    <w:pPr>
      <w:autoSpaceDE w:val="0"/>
      <w:autoSpaceDN w:val="0"/>
      <w:adjustRightInd w:val="0"/>
      <w:spacing w:after="0" w:line="240" w:lineRule="auto"/>
    </w:pPr>
    <w:rPr>
      <w:rFonts w:ascii="Cambria" w:hAnsi="Cambria" w:cs="Cambria"/>
      <w:color w:val="000000"/>
      <w:sz w:val="24"/>
      <w:szCs w:val="24"/>
    </w:rPr>
  </w:style>
  <w:style w:type="paragraph" w:styleId="Paragrafoelenco">
    <w:name w:val="List Paragraph"/>
    <w:basedOn w:val="Normale"/>
    <w:link w:val="ParagrafoelencoCarattere"/>
    <w:uiPriority w:val="34"/>
    <w:qFormat/>
    <w:rsid w:val="00A562D5"/>
    <w:pPr>
      <w:spacing w:after="0" w:line="240" w:lineRule="auto"/>
      <w:ind w:left="720"/>
      <w:contextualSpacing/>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C854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549B"/>
  </w:style>
  <w:style w:type="paragraph" w:styleId="Pidipagina">
    <w:name w:val="footer"/>
    <w:basedOn w:val="Normale"/>
    <w:link w:val="PidipaginaCarattere"/>
    <w:uiPriority w:val="99"/>
    <w:unhideWhenUsed/>
    <w:rsid w:val="00C854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549B"/>
  </w:style>
  <w:style w:type="character" w:styleId="Rimandocommento">
    <w:name w:val="annotation reference"/>
    <w:basedOn w:val="Carpredefinitoparagrafo"/>
    <w:uiPriority w:val="99"/>
    <w:semiHidden/>
    <w:unhideWhenUsed/>
    <w:rsid w:val="00B609C7"/>
    <w:rPr>
      <w:sz w:val="16"/>
      <w:szCs w:val="16"/>
    </w:rPr>
  </w:style>
  <w:style w:type="paragraph" w:styleId="Testocommento">
    <w:name w:val="annotation text"/>
    <w:basedOn w:val="Normale"/>
    <w:link w:val="TestocommentoCarattere"/>
    <w:uiPriority w:val="99"/>
    <w:unhideWhenUsed/>
    <w:rsid w:val="00B609C7"/>
    <w:pPr>
      <w:spacing w:line="240" w:lineRule="auto"/>
    </w:pPr>
    <w:rPr>
      <w:sz w:val="20"/>
      <w:szCs w:val="20"/>
    </w:rPr>
  </w:style>
  <w:style w:type="character" w:customStyle="1" w:styleId="TestocommentoCarattere">
    <w:name w:val="Testo commento Carattere"/>
    <w:basedOn w:val="Carpredefinitoparagrafo"/>
    <w:link w:val="Testocommento"/>
    <w:uiPriority w:val="99"/>
    <w:rsid w:val="00B609C7"/>
    <w:rPr>
      <w:sz w:val="20"/>
      <w:szCs w:val="20"/>
    </w:rPr>
  </w:style>
  <w:style w:type="paragraph" w:styleId="Soggettocommento">
    <w:name w:val="annotation subject"/>
    <w:basedOn w:val="Testocommento"/>
    <w:next w:val="Testocommento"/>
    <w:link w:val="SoggettocommentoCarattere"/>
    <w:uiPriority w:val="99"/>
    <w:semiHidden/>
    <w:unhideWhenUsed/>
    <w:rsid w:val="00B609C7"/>
    <w:rPr>
      <w:b/>
      <w:bCs/>
    </w:rPr>
  </w:style>
  <w:style w:type="character" w:customStyle="1" w:styleId="SoggettocommentoCarattere">
    <w:name w:val="Soggetto commento Carattere"/>
    <w:basedOn w:val="TestocommentoCarattere"/>
    <w:link w:val="Soggettocommento"/>
    <w:uiPriority w:val="99"/>
    <w:semiHidden/>
    <w:rsid w:val="00B609C7"/>
    <w:rPr>
      <w:b/>
      <w:bCs/>
      <w:sz w:val="20"/>
      <w:szCs w:val="20"/>
    </w:rPr>
  </w:style>
  <w:style w:type="character" w:customStyle="1" w:styleId="ParagrafoelencoCarattere">
    <w:name w:val="Paragrafo elenco Carattere"/>
    <w:basedOn w:val="Carpredefinitoparagrafo"/>
    <w:link w:val="Paragrafoelenco"/>
    <w:uiPriority w:val="99"/>
    <w:locked/>
    <w:rsid w:val="006434D9"/>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599</Words>
  <Characters>3417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BIAVA</dc:creator>
  <cp:keywords/>
  <dc:description/>
  <cp:lastModifiedBy>Simona GUERRIZIO</cp:lastModifiedBy>
  <cp:revision>6</cp:revision>
  <dcterms:created xsi:type="dcterms:W3CDTF">2023-11-30T11:33:00Z</dcterms:created>
  <dcterms:modified xsi:type="dcterms:W3CDTF">2023-11-30T15:01:00Z</dcterms:modified>
</cp:coreProperties>
</file>