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217A" w14:textId="77777777" w:rsidR="00930462" w:rsidRDefault="00930462"/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440"/>
        <w:gridCol w:w="2715"/>
        <w:gridCol w:w="1795"/>
        <w:gridCol w:w="2050"/>
        <w:gridCol w:w="1504"/>
        <w:gridCol w:w="1397"/>
        <w:gridCol w:w="1698"/>
        <w:gridCol w:w="2305"/>
        <w:gridCol w:w="1117"/>
      </w:tblGrid>
      <w:tr w:rsidR="00762600" w:rsidRPr="007D455C" w14:paraId="10AC3E95" w14:textId="35491D7A" w:rsidTr="00254779">
        <w:trPr>
          <w:trHeight w:val="392"/>
        </w:trPr>
        <w:tc>
          <w:tcPr>
            <w:tcW w:w="440" w:type="dxa"/>
            <w:vMerge w:val="restart"/>
            <w:shd w:val="clear" w:color="auto" w:fill="F2F2F2" w:themeFill="background1" w:themeFillShade="F2"/>
          </w:tcPr>
          <w:p w14:paraId="6E1C7B6E" w14:textId="5167E862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558" w:type="dxa"/>
            <w:gridSpan w:val="2"/>
            <w:shd w:val="clear" w:color="auto" w:fill="A6A6A6" w:themeFill="background1" w:themeFillShade="A6"/>
          </w:tcPr>
          <w:p w14:paraId="07CED2D7" w14:textId="2B22331A" w:rsidR="00B609C7" w:rsidRPr="007D455C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MISURE di cui all’art. 26 comma 2 del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D.Lgs.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50/2019 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723F3DEC" w14:textId="58EC99A2" w:rsidR="00B609C7" w:rsidRPr="007D455C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14:paraId="7F3772ED" w14:textId="1339DEDA" w:rsidR="00B609C7" w:rsidRPr="007D455C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09233F9" w14:textId="04696B60" w:rsidR="00B609C7" w:rsidRPr="007D455C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F19ABAE" w14:textId="5B48E9CF" w:rsidR="00B609C7" w:rsidRPr="007D455C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D40F965" w14:textId="09B8543E" w:rsidR="00B609C7" w:rsidRPr="007D455C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FC9D5F" w14:textId="3230192B" w:rsidR="00B609C7" w:rsidRPr="007D455C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</w:t>
            </w:r>
          </w:p>
        </w:tc>
      </w:tr>
      <w:tr w:rsidR="00B609C7" w:rsidRPr="007D455C" w14:paraId="1AB8A2C5" w14:textId="70C5F617" w:rsidTr="00254779">
        <w:tc>
          <w:tcPr>
            <w:tcW w:w="440" w:type="dxa"/>
            <w:vMerge/>
            <w:shd w:val="clear" w:color="auto" w:fill="F2F2F2" w:themeFill="background1" w:themeFillShade="F2"/>
          </w:tcPr>
          <w:p w14:paraId="12E73841" w14:textId="3A39AB28" w:rsidR="00B609C7" w:rsidRPr="000C7D63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shd w:val="clear" w:color="auto" w:fill="A6A6A6" w:themeFill="background1" w:themeFillShade="A6"/>
          </w:tcPr>
          <w:p w14:paraId="7AA234FE" w14:textId="55B81AC1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RACCOMANDAZIONE DIGIFEMA</w:t>
            </w:r>
          </w:p>
        </w:tc>
        <w:tc>
          <w:tcPr>
            <w:tcW w:w="1795" w:type="dxa"/>
            <w:vMerge w:val="restart"/>
            <w:shd w:val="clear" w:color="auto" w:fill="A6A6A6" w:themeFill="background1" w:themeFillShade="A6"/>
          </w:tcPr>
          <w:p w14:paraId="152EA14C" w14:textId="77777777" w:rsidR="00B609C7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INTEGRAZIONE</w:t>
            </w:r>
          </w:p>
          <w:p w14:paraId="2852C951" w14:textId="38EEA22C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ANSFISA  </w:t>
            </w:r>
          </w:p>
        </w:tc>
        <w:tc>
          <w:tcPr>
            <w:tcW w:w="1844" w:type="dxa"/>
            <w:vMerge w:val="restart"/>
            <w:shd w:val="clear" w:color="auto" w:fill="F2F2F2" w:themeFill="background1" w:themeFillShade="F2"/>
          </w:tcPr>
          <w:p w14:paraId="003EEB17" w14:textId="76BDAC5D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Esito dell</w:t>
            </w:r>
            <w:r w:rsidR="00021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 w:rsidR="00762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valutazion</w:t>
            </w:r>
            <w:r w:rsidR="00021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 w:rsidR="00762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 della </w:t>
            </w: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analisi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condotta</w:t>
            </w:r>
            <w:r w:rsidR="00762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62600" w:rsidRPr="00762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 fini dell’implementazione nel SGS</w:t>
            </w:r>
          </w:p>
          <w:p w14:paraId="3BD7E019" w14:textId="77777777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shd w:val="clear" w:color="auto" w:fill="F2F2F2" w:themeFill="background1" w:themeFillShade="F2"/>
          </w:tcPr>
          <w:p w14:paraId="5E2384B8" w14:textId="47B8F32C" w:rsidR="00B609C7" w:rsidRPr="007D455C" w:rsidRDefault="00E17028" w:rsidP="00E17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Azioni</w:t>
            </w:r>
            <w:r w:rsidR="00B609C7"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13A77823" w14:textId="32681DA5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Mitigazioni adottate </w:t>
            </w:r>
            <w:r w:rsidR="00E17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nelle more</w:t>
            </w: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del completamento del programma di </w:t>
            </w:r>
            <w:r w:rsidR="00E17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attuazione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757EBE46" w14:textId="619ADA9F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Evidenze</w:t>
            </w:r>
          </w:p>
        </w:tc>
      </w:tr>
      <w:tr w:rsidR="00762600" w:rsidRPr="007D455C" w14:paraId="4EA30B95" w14:textId="1800DEAF" w:rsidTr="00254779">
        <w:tc>
          <w:tcPr>
            <w:tcW w:w="440" w:type="dxa"/>
            <w:vMerge/>
          </w:tcPr>
          <w:p w14:paraId="1DD44704" w14:textId="77777777" w:rsidR="00B609C7" w:rsidRPr="000C7D63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vMerge/>
            <w:shd w:val="clear" w:color="auto" w:fill="A6A6A6" w:themeFill="background1" w:themeFillShade="A6"/>
          </w:tcPr>
          <w:p w14:paraId="235F2933" w14:textId="4B65DCCB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A6A6A6" w:themeFill="background1" w:themeFillShade="A6"/>
          </w:tcPr>
          <w:p w14:paraId="64381DBD" w14:textId="77777777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4BC3E6E" w14:textId="0B01EEF0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2F2F2" w:themeFill="background1" w:themeFillShade="F2"/>
          </w:tcPr>
          <w:p w14:paraId="14B3BE95" w14:textId="2AE253E3" w:rsidR="00B609C7" w:rsidRPr="007D455C" w:rsidRDefault="00E17028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Requisiti di sicurezza da implementare derivanti dall’analisi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1B037BC" w14:textId="22A95A86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Programma di attuazione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78FA961" w14:textId="3ED9AD89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Stato di implementazione del programma</w:t>
            </w:r>
          </w:p>
        </w:tc>
        <w:tc>
          <w:tcPr>
            <w:tcW w:w="2410" w:type="dxa"/>
            <w:vMerge/>
          </w:tcPr>
          <w:p w14:paraId="299DA9B7" w14:textId="0DED43CC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6B9080" w14:textId="77777777" w:rsidR="00B609C7" w:rsidRPr="007D455C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09C7" w:rsidRPr="007D455C" w14:paraId="2F682DAB" w14:textId="25F78A1D" w:rsidTr="00254779">
        <w:trPr>
          <w:trHeight w:val="4153"/>
        </w:trPr>
        <w:tc>
          <w:tcPr>
            <w:tcW w:w="440" w:type="dxa"/>
            <w:shd w:val="clear" w:color="auto" w:fill="F2F2F2" w:themeFill="background1" w:themeFillShade="F2"/>
          </w:tcPr>
          <w:p w14:paraId="099F8661" w14:textId="13B0B5F6" w:rsidR="000C7D63" w:rsidRPr="000C7D63" w:rsidRDefault="000C7D63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7084D42C" w14:textId="300A04D1" w:rsidR="004C306A" w:rsidRPr="004C306A" w:rsidRDefault="004C306A" w:rsidP="004C306A">
            <w:pPr>
              <w:jc w:val="both"/>
              <w:rPr>
                <w:sz w:val="20"/>
                <w:szCs w:val="20"/>
              </w:rPr>
            </w:pPr>
          </w:p>
          <w:p w14:paraId="1D03CC8A" w14:textId="445CEACA" w:rsidR="000C7D63" w:rsidRPr="004C306A" w:rsidRDefault="004C306A" w:rsidP="004C306A">
            <w:pPr>
              <w:jc w:val="both"/>
              <w:rPr>
                <w:sz w:val="20"/>
                <w:szCs w:val="20"/>
              </w:rPr>
            </w:pPr>
            <w:r w:rsidRPr="005933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 raccomanda all'Agenzia Nazionale per la Sicurezza delle Ferrovie e delle Infrastrutture Stradali e Autostradali, di verificare che l'Impresa ferroviaria Trenord, nell'ambito del proprio contesto, abbia messo in atto tutte le operazioni intese a individuare i rischi gravi per la sicurezza ferroviaria (</w:t>
            </w:r>
            <w:proofErr w:type="spellStart"/>
            <w:r w:rsidRPr="005933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</w:t>
            </w:r>
            <w:proofErr w:type="spellEnd"/>
            <w:r w:rsidRPr="005933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I, p.to 1.</w:t>
            </w:r>
            <w:proofErr w:type="gramStart"/>
            <w:r w:rsidRPr="005933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1.b</w:t>
            </w:r>
            <w:proofErr w:type="gramEnd"/>
            <w:r w:rsidRPr="005933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Reg.to) e le opportune misure mitigative, tenendo presente la movimentazione dei veicoli nelle varie condizioni di linea e di esercizio (</w:t>
            </w:r>
            <w:proofErr w:type="spellStart"/>
            <w:r w:rsidRPr="005933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</w:t>
            </w:r>
            <w:proofErr w:type="spellEnd"/>
            <w:r w:rsidRPr="005933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I, p.to 5.1.3. Reg.to), parking compreso, in relazione alla specificità del materiale rotabile in uso</w:t>
            </w:r>
            <w:r w:rsidR="004C1C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795" w:type="dxa"/>
          </w:tcPr>
          <w:p w14:paraId="5A1F929D" w14:textId="77777777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5CA9597" w14:textId="57D9D079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7D988F7" w14:textId="77777777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CB24CC" w14:textId="77777777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DE8020" w14:textId="5056F393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7FBF10" w14:textId="2D61B160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A48FD" w14:textId="77777777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9C7" w:rsidRPr="007D455C" w14:paraId="3C12AC5C" w14:textId="0B3B1B18" w:rsidTr="00254779">
        <w:tc>
          <w:tcPr>
            <w:tcW w:w="440" w:type="dxa"/>
            <w:shd w:val="clear" w:color="auto" w:fill="F2F2F2" w:themeFill="background1" w:themeFillShade="F2"/>
          </w:tcPr>
          <w:p w14:paraId="4FF79F90" w14:textId="5F0B407F" w:rsidR="00B609C7" w:rsidRPr="000C7D63" w:rsidRDefault="00B609C7" w:rsidP="00CC6CC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C7D6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09966264" w14:textId="77777777" w:rsidR="00593350" w:rsidRPr="00593350" w:rsidRDefault="00593350" w:rsidP="00593350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5933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Si raccomanda all'Agenzia Nazionale per la Sicurezza delle Ferrovie e delle Infrastrutture Stradali e </w:t>
            </w:r>
          </w:p>
          <w:p w14:paraId="33700C00" w14:textId="2F4A2E3F" w:rsidR="00B609C7" w:rsidRPr="006C610E" w:rsidRDefault="00593350" w:rsidP="0059335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5933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Autostradali, nell'ambito dei propri processi di supervisione, di verificare che Trenord, in quanto anche Soggetto Responsabile della </w:t>
            </w:r>
            <w:r w:rsidRPr="005933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lastRenderedPageBreak/>
              <w:t xml:space="preserve">Manutenzione e, più in generale, le altre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I</w:t>
            </w:r>
            <w:r w:rsidRPr="005933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mprese ferroviarie,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5933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con il coinvolgimento dell'alta dirigenza, abbiano previsto e ottemperato, nel processo formativo del personale addetto alla condotta, alla scorta e alla manutenzione dei treni, alla corretta ed efficace applicazione del Sistema di Gestione della Sicurezza, anche tramite esaurienti disposizioni riguardanti la promozione della cultura positiva della sicurezza (</w:t>
            </w:r>
            <w:proofErr w:type="spellStart"/>
            <w:r w:rsidRPr="005933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All</w:t>
            </w:r>
            <w:proofErr w:type="spellEnd"/>
            <w:r w:rsidRPr="005933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. I, p.to 2.1.1.g-h-i-j, p.to 2.2.2.c-d, p.to 4.3. Reg.to).</w:t>
            </w:r>
          </w:p>
        </w:tc>
        <w:tc>
          <w:tcPr>
            <w:tcW w:w="1795" w:type="dxa"/>
            <w:shd w:val="clear" w:color="auto" w:fill="auto"/>
          </w:tcPr>
          <w:p w14:paraId="5F0A9018" w14:textId="77777777" w:rsidR="00B609C7" w:rsidRPr="007D455C" w:rsidRDefault="00B609C7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1465A9F7" w14:textId="77777777" w:rsidR="00B609C7" w:rsidRPr="007D455C" w:rsidRDefault="00B609C7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B362892" w14:textId="77777777" w:rsidR="00B609C7" w:rsidRPr="007D455C" w:rsidRDefault="00B609C7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BF3997" w14:textId="77777777" w:rsidR="00B609C7" w:rsidRPr="007D455C" w:rsidRDefault="00B609C7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111372" w14:textId="77777777" w:rsidR="00B609C7" w:rsidRPr="007D455C" w:rsidRDefault="00B609C7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023E219" w14:textId="77777777" w:rsidR="00B609C7" w:rsidRPr="007D455C" w:rsidRDefault="00B609C7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A578D9" w14:textId="77777777" w:rsidR="00B609C7" w:rsidRPr="007D455C" w:rsidRDefault="00B609C7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9C7" w:rsidRPr="007D455C" w14:paraId="37AD2CB8" w14:textId="47903F1E" w:rsidTr="00254779">
        <w:tc>
          <w:tcPr>
            <w:tcW w:w="440" w:type="dxa"/>
            <w:shd w:val="clear" w:color="auto" w:fill="F2F2F2" w:themeFill="background1" w:themeFillShade="F2"/>
          </w:tcPr>
          <w:p w14:paraId="4D3EBC45" w14:textId="3EFDA505" w:rsidR="000C7D63" w:rsidRPr="00B609C7" w:rsidRDefault="00B609C7" w:rsidP="00B609C7">
            <w:pPr>
              <w:pStyle w:val="Default"/>
              <w:spacing w:after="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609C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26F9E761" w14:textId="77777777" w:rsidR="00593350" w:rsidRPr="00593350" w:rsidRDefault="00593350" w:rsidP="00593350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5933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Si raccomanda all'Agenzia Nazionale per la Sicurezza delle Ferrovie e delle Infrastrutture Stradali e </w:t>
            </w:r>
          </w:p>
          <w:p w14:paraId="5C2E4589" w14:textId="6D111C1E" w:rsidR="00593350" w:rsidRPr="00593350" w:rsidRDefault="00593350" w:rsidP="00593350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5933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Autostradali, di verificare che le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I</w:t>
            </w:r>
            <w:r w:rsidRPr="005933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mprese ferroviarie abbiano in essere, all'interno del proprio Sistema </w:t>
            </w:r>
          </w:p>
          <w:p w14:paraId="762E8CAE" w14:textId="77777777" w:rsidR="00593350" w:rsidRPr="00593350" w:rsidRDefault="00593350" w:rsidP="00593350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5933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di Gestione della Sicurezza, procedure che garantiscano un adeguato livello di affidabilità, tracciabilità </w:t>
            </w:r>
          </w:p>
          <w:p w14:paraId="72D7EF56" w14:textId="77777777" w:rsidR="00593350" w:rsidRPr="00593350" w:rsidRDefault="00593350" w:rsidP="00593350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5933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e monitoraggio dei processi di formazione, addestramento e mantenimento delle competenze degli </w:t>
            </w:r>
          </w:p>
          <w:p w14:paraId="50A624C7" w14:textId="6105A775" w:rsidR="000C7D63" w:rsidRPr="00B609C7" w:rsidRDefault="00593350" w:rsidP="00593350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5933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agenti di condotta, dei capi treno e dei manutentori (</w:t>
            </w:r>
            <w:proofErr w:type="spellStart"/>
            <w:r w:rsidRPr="005933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All</w:t>
            </w:r>
            <w:proofErr w:type="spellEnd"/>
            <w:r w:rsidRPr="005933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. I, </w:t>
            </w:r>
            <w:proofErr w:type="spellStart"/>
            <w:proofErr w:type="gramStart"/>
            <w:r w:rsidRPr="005933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p.ti</w:t>
            </w:r>
            <w:proofErr w:type="spellEnd"/>
            <w:proofErr w:type="gramEnd"/>
            <w:r w:rsidRPr="005933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 2.3. e 4.2. Reg.to).</w:t>
            </w:r>
          </w:p>
        </w:tc>
        <w:tc>
          <w:tcPr>
            <w:tcW w:w="1795" w:type="dxa"/>
          </w:tcPr>
          <w:p w14:paraId="400112D3" w14:textId="77777777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0DDBDAA" w14:textId="3346D90A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5C1CE4B" w14:textId="77777777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13DB2E" w14:textId="77777777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CC3592" w14:textId="77777777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301548" w14:textId="77777777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23346" w14:textId="77777777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9C7" w:rsidRPr="007D455C" w14:paraId="23F91496" w14:textId="4C0BA761" w:rsidTr="00254779">
        <w:tc>
          <w:tcPr>
            <w:tcW w:w="440" w:type="dxa"/>
            <w:shd w:val="clear" w:color="auto" w:fill="F2F2F2" w:themeFill="background1" w:themeFillShade="F2"/>
          </w:tcPr>
          <w:p w14:paraId="21A980D9" w14:textId="23B09419" w:rsidR="000C7D63" w:rsidRPr="00B609C7" w:rsidRDefault="00B609C7" w:rsidP="00B609C7">
            <w:pPr>
              <w:pStyle w:val="Default"/>
              <w:spacing w:after="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609C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6236B894" w14:textId="77777777" w:rsidR="00BE4157" w:rsidRPr="00BE4157" w:rsidRDefault="00BE4157" w:rsidP="00BE415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Si raccomanda all'Agenzia Nazionale per la Sicurezza delle Ferrovie e delle Infrastrutture Stradali e </w:t>
            </w:r>
          </w:p>
          <w:p w14:paraId="6853EC6A" w14:textId="3DE07C81" w:rsidR="00BE4157" w:rsidRPr="00BE4157" w:rsidRDefault="00BE4157" w:rsidP="00BE415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lastRenderedPageBreak/>
              <w:t xml:space="preserve">Autostradali di richiedere a RFI e agli altri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G</w:t>
            </w: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estori dell'infrastruttura una verifica delle disposizioni in </w:t>
            </w:r>
          </w:p>
          <w:p w14:paraId="76A198DD" w14:textId="77777777" w:rsidR="00BE4157" w:rsidRPr="00BE4157" w:rsidRDefault="00BE4157" w:rsidP="00BE415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concreto adottate per lo stazionamento dei treni in località con livelletta in pendenza, prevedendo, </w:t>
            </w:r>
          </w:p>
          <w:p w14:paraId="307247E1" w14:textId="77777777" w:rsidR="00BE4157" w:rsidRPr="00BE4157" w:rsidRDefault="00BE4157" w:rsidP="00BE415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laddove possibile, l'indipendenza del binario, anche in considerazione dei tempi previsti di </w:t>
            </w:r>
          </w:p>
          <w:p w14:paraId="2FFABFDF" w14:textId="2B3C444D" w:rsidR="000C7D63" w:rsidRPr="00B609C7" w:rsidRDefault="00BE4157" w:rsidP="00BE415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stazionamento (</w:t>
            </w:r>
            <w:proofErr w:type="spellStart"/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All</w:t>
            </w:r>
            <w:proofErr w:type="spellEnd"/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. II, p.to 3.1.1.</w:t>
            </w:r>
            <w:proofErr w:type="gramStart"/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1.a</w:t>
            </w:r>
            <w:proofErr w:type="gramEnd"/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, p.to 5.1.3.a Reg.to).</w:t>
            </w:r>
          </w:p>
        </w:tc>
        <w:tc>
          <w:tcPr>
            <w:tcW w:w="1795" w:type="dxa"/>
          </w:tcPr>
          <w:p w14:paraId="0BD9BD3A" w14:textId="77777777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19FAC0C" w14:textId="043BF95B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59820A0" w14:textId="77777777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872EA" w14:textId="77777777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CD5E37" w14:textId="77777777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A42A57" w14:textId="77777777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10E4D" w14:textId="77777777" w:rsidR="000C7D63" w:rsidRPr="007D455C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9C7" w:rsidRPr="00021301" w14:paraId="139D160A" w14:textId="0C35F28C" w:rsidTr="00254779">
        <w:tc>
          <w:tcPr>
            <w:tcW w:w="440" w:type="dxa"/>
            <w:shd w:val="clear" w:color="auto" w:fill="F2F2F2" w:themeFill="background1" w:themeFillShade="F2"/>
          </w:tcPr>
          <w:p w14:paraId="453FDFC8" w14:textId="30F1AB4F" w:rsidR="000C7D63" w:rsidRPr="00B609C7" w:rsidRDefault="00B609C7" w:rsidP="00B609C7">
            <w:pPr>
              <w:pStyle w:val="Default"/>
              <w:spacing w:after="2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609C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612D177A" w14:textId="77777777" w:rsidR="00BE4157" w:rsidRPr="00BE4157" w:rsidRDefault="00BE4157" w:rsidP="00BE415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Si raccomanda all'Agenzia Nazionale per la Sicurezza delle Ferrovie e delle Infrastrutture Stradali e </w:t>
            </w:r>
          </w:p>
          <w:p w14:paraId="19EA88DA" w14:textId="3CC339BC" w:rsidR="00BE4157" w:rsidRPr="00BE4157" w:rsidRDefault="00BE4157" w:rsidP="00BE415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Autostradali di verificare che le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I</w:t>
            </w: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mprese ferroviarie abbiano in essere, nell'ambito del proprio Sistema </w:t>
            </w:r>
          </w:p>
          <w:p w14:paraId="5590CB64" w14:textId="77777777" w:rsidR="00BE4157" w:rsidRPr="00BE4157" w:rsidRDefault="00BE4157" w:rsidP="00BE415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della gestione della Sicurezza, un metodo sistematico che comprenda l'impiego di processi riconosciuti </w:t>
            </w:r>
          </w:p>
          <w:p w14:paraId="517DD2AD" w14:textId="2ED79E03" w:rsidR="000C7D63" w:rsidRPr="00BE4157" w:rsidRDefault="00BE4157" w:rsidP="00BE415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it-IT"/>
              </w:rPr>
            </w:pP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provenienti dal campo dei fattori umani e organizzativi. </w:t>
            </w: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it-IT"/>
              </w:rPr>
              <w:t>(All. I, p.to 4.6. Reg.to).</w:t>
            </w:r>
          </w:p>
        </w:tc>
        <w:tc>
          <w:tcPr>
            <w:tcW w:w="1795" w:type="dxa"/>
          </w:tcPr>
          <w:p w14:paraId="30C77F53" w14:textId="77777777" w:rsidR="000C7D63" w:rsidRPr="00BE4157" w:rsidRDefault="000C7D63" w:rsidP="00254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63081D6C" w14:textId="3B3D1125" w:rsidR="000C7D63" w:rsidRPr="00BE4157" w:rsidRDefault="000C7D63" w:rsidP="00254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</w:tcPr>
          <w:p w14:paraId="495DABA0" w14:textId="77777777" w:rsidR="000C7D63" w:rsidRPr="00BE4157" w:rsidRDefault="000C7D63" w:rsidP="00254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298DE87A" w14:textId="77777777" w:rsidR="000C7D63" w:rsidRPr="00BE4157" w:rsidRDefault="000C7D63" w:rsidP="00254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41C5182" w14:textId="77777777" w:rsidR="000C7D63" w:rsidRPr="00BE4157" w:rsidRDefault="000C7D63" w:rsidP="00254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D6FC31E" w14:textId="77777777" w:rsidR="000C7D63" w:rsidRPr="00BE4157" w:rsidRDefault="000C7D63" w:rsidP="00254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CA6A8E6" w14:textId="77777777" w:rsidR="000C7D63" w:rsidRPr="00BE4157" w:rsidRDefault="000C7D63" w:rsidP="00254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4157" w:rsidRPr="00BE4157" w14:paraId="49DB543B" w14:textId="77777777" w:rsidTr="00254779">
        <w:tc>
          <w:tcPr>
            <w:tcW w:w="440" w:type="dxa"/>
            <w:shd w:val="clear" w:color="auto" w:fill="F2F2F2" w:themeFill="background1" w:themeFillShade="F2"/>
          </w:tcPr>
          <w:p w14:paraId="3F9FDC08" w14:textId="7E3B29E1" w:rsidR="00BE4157" w:rsidRPr="00B609C7" w:rsidRDefault="00BE4157" w:rsidP="00B609C7">
            <w:pPr>
              <w:pStyle w:val="Default"/>
              <w:spacing w:after="2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4601373B" w14:textId="77777777" w:rsidR="00BE4157" w:rsidRPr="00BE4157" w:rsidRDefault="00BE4157" w:rsidP="00BE415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Si raccomanda all'Agenzia Nazionale per la Sicurezza delle Ferrovie e delle Infrastrutture Stradali e </w:t>
            </w:r>
          </w:p>
          <w:p w14:paraId="37B0AAC6" w14:textId="7FE288B1" w:rsidR="00BE4157" w:rsidRPr="00BE4157" w:rsidRDefault="00BE4157" w:rsidP="00BE415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Autostradali di verificare che i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G</w:t>
            </w: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estori dell'infrastruttura e le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I</w:t>
            </w: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mprese ferroviarie abbiano in essere </w:t>
            </w:r>
          </w:p>
          <w:p w14:paraId="0F944DB1" w14:textId="77777777" w:rsidR="00BE4157" w:rsidRPr="00BE4157" w:rsidRDefault="00BE4157" w:rsidP="00BE415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idonee attività di comunicazione ed informazione, legate alle indagini su incidenti e inconvenienti, al </w:t>
            </w:r>
          </w:p>
          <w:p w14:paraId="47753805" w14:textId="77777777" w:rsidR="00BE4157" w:rsidRPr="00BE4157" w:rsidRDefault="00BE4157" w:rsidP="00BE415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proprio personale, per valutare adeguatamente i mezzi di prova, per riesaminare la valutazione dei </w:t>
            </w:r>
          </w:p>
          <w:p w14:paraId="76F304E9" w14:textId="77777777" w:rsidR="00BE4157" w:rsidRPr="00BE4157" w:rsidRDefault="00BE4157" w:rsidP="00BE415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 xml:space="preserve">rischi e trarne gli opportuni insegnamenti, allo scopo di migliorare la sicurezza, adottando misure </w:t>
            </w:r>
          </w:p>
          <w:p w14:paraId="72C8E9C2" w14:textId="64104A77" w:rsidR="00BE4157" w:rsidRPr="00BE4157" w:rsidRDefault="00BE4157" w:rsidP="00BE415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correttive e migliorative (</w:t>
            </w:r>
            <w:proofErr w:type="spellStart"/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All</w:t>
            </w:r>
            <w:proofErr w:type="spellEnd"/>
            <w:r w:rsidRPr="00BE41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  <w:t>. I e II, p.to 7.1.3. Reg.to).</w:t>
            </w:r>
          </w:p>
        </w:tc>
        <w:tc>
          <w:tcPr>
            <w:tcW w:w="1795" w:type="dxa"/>
          </w:tcPr>
          <w:p w14:paraId="20BCA2ED" w14:textId="77777777" w:rsidR="00BE4157" w:rsidRPr="00CD63D7" w:rsidRDefault="00BE4157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FC323DA" w14:textId="77777777" w:rsidR="00BE4157" w:rsidRPr="00CD63D7" w:rsidRDefault="00BE4157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C436684" w14:textId="77777777" w:rsidR="00BE4157" w:rsidRPr="00CD63D7" w:rsidRDefault="00BE4157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C0CDC4" w14:textId="77777777" w:rsidR="00BE4157" w:rsidRPr="00CD63D7" w:rsidRDefault="00BE4157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A29CC3" w14:textId="77777777" w:rsidR="00BE4157" w:rsidRPr="00CD63D7" w:rsidRDefault="00BE4157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64C665" w14:textId="77777777" w:rsidR="00BE4157" w:rsidRPr="00CD63D7" w:rsidRDefault="00BE4157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1BFD90" w14:textId="77777777" w:rsidR="00BE4157" w:rsidRPr="00CD63D7" w:rsidRDefault="00BE4157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779" w:rsidRPr="007D455C" w14:paraId="6EAB311C" w14:textId="176A0D14" w:rsidTr="00254779">
        <w:trPr>
          <w:trHeight w:val="2557"/>
        </w:trPr>
        <w:tc>
          <w:tcPr>
            <w:tcW w:w="440" w:type="dxa"/>
          </w:tcPr>
          <w:p w14:paraId="5D1516F8" w14:textId="77777777" w:rsidR="00254779" w:rsidRPr="00CD63D7" w:rsidRDefault="00254779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1" w:type="dxa"/>
            <w:gridSpan w:val="8"/>
          </w:tcPr>
          <w:p w14:paraId="1E71C1E2" w14:textId="70C0F2BD" w:rsidR="00254779" w:rsidRPr="00254779" w:rsidRDefault="00254779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7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 PER LA COMPILAZIONE</w:t>
            </w:r>
          </w:p>
          <w:p w14:paraId="1A93FBE6" w14:textId="1EE72953" w:rsidR="00254779" w:rsidRPr="007D455C" w:rsidRDefault="00254779" w:rsidP="00254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sz w:val="20"/>
                <w:szCs w:val="20"/>
              </w:rPr>
              <w:t>colonna II – inserire una</w:t>
            </w:r>
            <w:r w:rsidR="00762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2600" w:rsidRPr="006F0347">
              <w:rPr>
                <w:rFonts w:ascii="Times New Roman" w:hAnsi="Times New Roman" w:cs="Times New Roman"/>
                <w:sz w:val="20"/>
                <w:szCs w:val="20"/>
              </w:rPr>
              <w:t>sintetica descrizione</w:t>
            </w:r>
            <w:r w:rsidR="00762600">
              <w:rPr>
                <w:rFonts w:ascii="Times New Roman" w:hAnsi="Times New Roman" w:cs="Times New Roman"/>
                <w:sz w:val="20"/>
                <w:szCs w:val="20"/>
              </w:rPr>
              <w:t xml:space="preserve"> dell’esito dell</w:t>
            </w:r>
            <w:r w:rsidR="0002130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762600">
              <w:rPr>
                <w:rFonts w:ascii="Times New Roman" w:hAnsi="Times New Roman" w:cs="Times New Roman"/>
                <w:sz w:val="20"/>
                <w:szCs w:val="20"/>
              </w:rPr>
              <w:t>valutazione, inserendo per l’analisi</w:t>
            </w:r>
            <w:r w:rsidRPr="007D455C">
              <w:rPr>
                <w:rFonts w:ascii="Times New Roman" w:hAnsi="Times New Roman" w:cs="Times New Roman"/>
                <w:sz w:val="20"/>
                <w:szCs w:val="20"/>
              </w:rPr>
              <w:t xml:space="preserve"> le seguenti diciture:</w:t>
            </w:r>
          </w:p>
          <w:p w14:paraId="241B900E" w14:textId="6C4E3D7E" w:rsidR="006F0347" w:rsidRPr="006F0347" w:rsidRDefault="00254779" w:rsidP="006F0347">
            <w:pPr>
              <w:pStyle w:val="Paragrafoelenco"/>
              <w:numPr>
                <w:ilvl w:val="0"/>
                <w:numId w:val="6"/>
              </w:numPr>
              <w:spacing w:line="24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D455C">
              <w:rPr>
                <w:rFonts w:eastAsiaTheme="minorHAnsi"/>
                <w:sz w:val="20"/>
                <w:szCs w:val="20"/>
                <w:lang w:eastAsia="en-US"/>
              </w:rPr>
              <w:t>è stata adottata apportando modifiche al proprio sistema ed alle relative attività;</w:t>
            </w:r>
          </w:p>
          <w:p w14:paraId="6391AAC0" w14:textId="396F5D1D" w:rsidR="00254779" w:rsidRPr="00920A1F" w:rsidRDefault="006F0347" w:rsidP="00254779">
            <w:pPr>
              <w:pStyle w:val="Paragrafoelenco"/>
              <w:numPr>
                <w:ilvl w:val="0"/>
                <w:numId w:val="6"/>
              </w:numPr>
              <w:spacing w:line="24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20A1F">
              <w:rPr>
                <w:rFonts w:eastAsiaTheme="minorHAnsi"/>
                <w:sz w:val="20"/>
                <w:szCs w:val="20"/>
                <w:lang w:eastAsia="en-US"/>
              </w:rPr>
              <w:t xml:space="preserve">non </w:t>
            </w:r>
            <w:r w:rsidR="00254779" w:rsidRPr="00920A1F">
              <w:rPr>
                <w:rFonts w:eastAsiaTheme="minorHAnsi"/>
                <w:sz w:val="20"/>
                <w:szCs w:val="20"/>
                <w:lang w:eastAsia="en-US"/>
              </w:rPr>
              <w:t>è stata adottata in quanto già prevista dal sistema;</w:t>
            </w:r>
          </w:p>
          <w:p w14:paraId="665068DB" w14:textId="2D21463A" w:rsidR="00254779" w:rsidRPr="00920A1F" w:rsidRDefault="00254779" w:rsidP="00254779">
            <w:pPr>
              <w:pStyle w:val="Paragrafoelenco"/>
              <w:numPr>
                <w:ilvl w:val="0"/>
                <w:numId w:val="6"/>
              </w:numPr>
              <w:spacing w:line="24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20A1F">
              <w:rPr>
                <w:rFonts w:eastAsiaTheme="minorHAnsi"/>
                <w:sz w:val="20"/>
                <w:szCs w:val="20"/>
                <w:lang w:eastAsia="en-US"/>
              </w:rPr>
              <w:t>non è stat</w:t>
            </w:r>
            <w:r w:rsidR="006F0347" w:rsidRPr="00920A1F">
              <w:rPr>
                <w:rFonts w:eastAsiaTheme="minorHAnsi"/>
                <w:sz w:val="20"/>
                <w:szCs w:val="20"/>
                <w:lang w:eastAsia="en-US"/>
              </w:rPr>
              <w:t>a adottata in quanto non necessaria nel proprio contesto operativo</w:t>
            </w:r>
            <w:r w:rsidRPr="00920A1F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1DF77F1A" w14:textId="37EB8093" w:rsidR="006F0347" w:rsidRDefault="00254779" w:rsidP="0025477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5C">
              <w:rPr>
                <w:rFonts w:ascii="Times New Roman" w:hAnsi="Times New Roman" w:cs="Times New Roman"/>
                <w:sz w:val="20"/>
                <w:szCs w:val="20"/>
              </w:rPr>
              <w:t>Inserire il riferimento al testo della relazione sull’implementazione delle raccomandazioni dove sono inserite le analisi a supporto della decisione.</w:t>
            </w:r>
          </w:p>
          <w:p w14:paraId="323321FA" w14:textId="6D4E8285" w:rsidR="006F0347" w:rsidRPr="007D455C" w:rsidRDefault="006F0347" w:rsidP="00920A1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0347">
              <w:rPr>
                <w:rFonts w:ascii="Times New Roman" w:hAnsi="Times New Roman" w:cs="Times New Roman"/>
                <w:sz w:val="20"/>
                <w:szCs w:val="20"/>
              </w:rPr>
              <w:t xml:space="preserve">COLONNA III </w:t>
            </w:r>
            <w:r w:rsidR="00920A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347">
              <w:rPr>
                <w:rFonts w:ascii="Times New Roman" w:hAnsi="Times New Roman" w:cs="Times New Roman"/>
                <w:sz w:val="20"/>
                <w:szCs w:val="20"/>
              </w:rPr>
              <w:t xml:space="preserve"> inserire una sintetica descrizione delle misure individuate identificando i processi di SGS coinvolti e la sezione esplicativa di riferimento nella relazione.</w:t>
            </w:r>
            <w:r w:rsidRPr="006F0347">
              <w:rPr>
                <w:rFonts w:ascii="Times New Roman" w:hAnsi="Times New Roman" w:cs="Times New Roman"/>
                <w:sz w:val="20"/>
                <w:szCs w:val="20"/>
              </w:rPr>
              <w:br/>
              <w:t>COLONNA IV - indicare se è stato redatto un programma di attuazione e, nel caso, la sezione esplicativa di riferimento della relazione.</w:t>
            </w:r>
            <w:r w:rsidRPr="006F03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COLONNA V </w:t>
            </w:r>
            <w:r w:rsidR="00920A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347">
              <w:rPr>
                <w:rFonts w:ascii="Times New Roman" w:hAnsi="Times New Roman" w:cs="Times New Roman"/>
                <w:sz w:val="20"/>
                <w:szCs w:val="20"/>
              </w:rPr>
              <w:t xml:space="preserve"> indicare lo stato di implementazione del programma di attuazione (Totale, Parziale o Nullo)</w:t>
            </w:r>
            <w:r w:rsidRPr="006F0347">
              <w:rPr>
                <w:rFonts w:ascii="Times New Roman" w:hAnsi="Times New Roman" w:cs="Times New Roman"/>
                <w:sz w:val="20"/>
                <w:szCs w:val="20"/>
              </w:rPr>
              <w:br/>
              <w:t>COLONNA VI - inserire una sintetica descrizione delle misure identificando i processi di SGS coinvolti e la sezione esplicativa di riferimento nella relazione.</w:t>
            </w:r>
            <w:r w:rsidRPr="006F03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COLONNA VII </w:t>
            </w:r>
            <w:r w:rsidR="00920A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0347">
              <w:rPr>
                <w:rFonts w:ascii="Times New Roman" w:hAnsi="Times New Roman" w:cs="Times New Roman"/>
                <w:sz w:val="20"/>
                <w:szCs w:val="20"/>
              </w:rPr>
              <w:t>indicare la sezione esplicativa di riferimento nella relazione</w:t>
            </w:r>
          </w:p>
        </w:tc>
      </w:tr>
    </w:tbl>
    <w:p w14:paraId="1D22D1A5" w14:textId="2FF5ED08" w:rsidR="00930462" w:rsidRPr="00254779" w:rsidRDefault="00930462" w:rsidP="00254779">
      <w:pPr>
        <w:spacing w:before="120" w:after="0"/>
        <w:ind w:right="124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54779">
        <w:rPr>
          <w:rFonts w:ascii="Times New Roman" w:hAnsi="Times New Roman" w:cs="Times New Roman"/>
          <w:b/>
          <w:bCs/>
          <w:sz w:val="28"/>
          <w:szCs w:val="28"/>
        </w:rPr>
        <w:t>Firma</w:t>
      </w:r>
    </w:p>
    <w:sectPr w:rsidR="00930462" w:rsidRPr="00254779" w:rsidSect="007652CC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E630" w14:textId="77777777" w:rsidR="00F344CC" w:rsidRDefault="00F344CC" w:rsidP="00C8549B">
      <w:pPr>
        <w:spacing w:after="0" w:line="240" w:lineRule="auto"/>
      </w:pPr>
      <w:r>
        <w:separator/>
      </w:r>
    </w:p>
  </w:endnote>
  <w:endnote w:type="continuationSeparator" w:id="0">
    <w:p w14:paraId="04D3C4FB" w14:textId="77777777" w:rsidR="00F344CC" w:rsidRDefault="00F344CC" w:rsidP="00C8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79D1" w14:textId="77777777" w:rsidR="00F344CC" w:rsidRDefault="00F344CC" w:rsidP="00C8549B">
      <w:pPr>
        <w:spacing w:after="0" w:line="240" w:lineRule="auto"/>
      </w:pPr>
      <w:r>
        <w:separator/>
      </w:r>
    </w:p>
  </w:footnote>
  <w:footnote w:type="continuationSeparator" w:id="0">
    <w:p w14:paraId="420755B8" w14:textId="77777777" w:rsidR="00F344CC" w:rsidRDefault="00F344CC" w:rsidP="00C8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5563" w14:textId="3B8CFF6E" w:rsidR="004738B5" w:rsidRPr="00B609C7" w:rsidRDefault="007D455C">
    <w:pPr>
      <w:pStyle w:val="Intestazione"/>
      <w:rPr>
        <w:rFonts w:ascii="Times New Roman" w:hAnsi="Times New Roman" w:cs="Times New Roman"/>
        <w:b/>
        <w:bCs/>
        <w:sz w:val="24"/>
        <w:szCs w:val="24"/>
      </w:rPr>
    </w:pPr>
    <w:r w:rsidRPr="00B609C7">
      <w:rPr>
        <w:rFonts w:ascii="Times New Roman" w:hAnsi="Times New Roman" w:cs="Times New Roman"/>
        <w:b/>
        <w:bCs/>
        <w:sz w:val="24"/>
        <w:szCs w:val="24"/>
      </w:rPr>
      <w:t xml:space="preserve">SCHEDA RIEPILOGATIVA sullo stato di attuazione delle misure di cui all’art. 26 comma 2 del D.Lgs. 50/2019 – </w:t>
    </w:r>
    <w:r w:rsidR="00CD63D7">
      <w:rPr>
        <w:rFonts w:ascii="Times New Roman" w:hAnsi="Times New Roman" w:cs="Times New Roman"/>
        <w:b/>
        <w:bCs/>
        <w:sz w:val="24"/>
        <w:szCs w:val="24"/>
      </w:rPr>
      <w:t>Stazione di Carnate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AD1"/>
    <w:multiLevelType w:val="hybridMultilevel"/>
    <w:tmpl w:val="45845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2566"/>
    <w:multiLevelType w:val="hybridMultilevel"/>
    <w:tmpl w:val="E70EAE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6365E"/>
    <w:multiLevelType w:val="hybridMultilevel"/>
    <w:tmpl w:val="EEE4632C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901931"/>
    <w:multiLevelType w:val="hybridMultilevel"/>
    <w:tmpl w:val="5700182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464DE7"/>
    <w:multiLevelType w:val="hybridMultilevel"/>
    <w:tmpl w:val="613CCA9A"/>
    <w:lvl w:ilvl="0" w:tplc="7E947A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F3836"/>
    <w:multiLevelType w:val="hybridMultilevel"/>
    <w:tmpl w:val="6D2218CE"/>
    <w:lvl w:ilvl="0" w:tplc="B1FCA878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 (Corpo CS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85905">
    <w:abstractNumId w:val="2"/>
  </w:num>
  <w:num w:numId="2" w16cid:durableId="1768228318">
    <w:abstractNumId w:val="5"/>
  </w:num>
  <w:num w:numId="3" w16cid:durableId="437145070">
    <w:abstractNumId w:val="0"/>
  </w:num>
  <w:num w:numId="4" w16cid:durableId="1461387378">
    <w:abstractNumId w:val="4"/>
  </w:num>
  <w:num w:numId="5" w16cid:durableId="2047677829">
    <w:abstractNumId w:val="1"/>
  </w:num>
  <w:num w:numId="6" w16cid:durableId="2135904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D5"/>
    <w:rsid w:val="00021301"/>
    <w:rsid w:val="00023745"/>
    <w:rsid w:val="000C7D63"/>
    <w:rsid w:val="00166FF7"/>
    <w:rsid w:val="00243508"/>
    <w:rsid w:val="00254265"/>
    <w:rsid w:val="00254779"/>
    <w:rsid w:val="002A2D19"/>
    <w:rsid w:val="002D6486"/>
    <w:rsid w:val="003A0305"/>
    <w:rsid w:val="004738B5"/>
    <w:rsid w:val="00483D25"/>
    <w:rsid w:val="004C1C4D"/>
    <w:rsid w:val="004C306A"/>
    <w:rsid w:val="00593350"/>
    <w:rsid w:val="00594188"/>
    <w:rsid w:val="00606D5F"/>
    <w:rsid w:val="00677723"/>
    <w:rsid w:val="006C610E"/>
    <w:rsid w:val="006F0347"/>
    <w:rsid w:val="00762600"/>
    <w:rsid w:val="007652CC"/>
    <w:rsid w:val="007B1464"/>
    <w:rsid w:val="007D455C"/>
    <w:rsid w:val="007F098F"/>
    <w:rsid w:val="00920A1F"/>
    <w:rsid w:val="00930462"/>
    <w:rsid w:val="00942736"/>
    <w:rsid w:val="00A35FD5"/>
    <w:rsid w:val="00A54D54"/>
    <w:rsid w:val="00A562D5"/>
    <w:rsid w:val="00A601E6"/>
    <w:rsid w:val="00A603FF"/>
    <w:rsid w:val="00A643A0"/>
    <w:rsid w:val="00A64EA8"/>
    <w:rsid w:val="00A65C50"/>
    <w:rsid w:val="00B609C7"/>
    <w:rsid w:val="00B634DE"/>
    <w:rsid w:val="00B76803"/>
    <w:rsid w:val="00BE4157"/>
    <w:rsid w:val="00C8549B"/>
    <w:rsid w:val="00CC6CCD"/>
    <w:rsid w:val="00CD63D7"/>
    <w:rsid w:val="00E07C91"/>
    <w:rsid w:val="00E17028"/>
    <w:rsid w:val="00F3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E6E8"/>
  <w15:chartTrackingRefBased/>
  <w15:docId w15:val="{EEDB414B-55CA-4F34-9FBA-88C89F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F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62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5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49B"/>
  </w:style>
  <w:style w:type="paragraph" w:styleId="Pidipagina">
    <w:name w:val="footer"/>
    <w:basedOn w:val="Normale"/>
    <w:link w:val="PidipaginaCarattere"/>
    <w:uiPriority w:val="99"/>
    <w:unhideWhenUsed/>
    <w:rsid w:val="00C85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49B"/>
  </w:style>
  <w:style w:type="character" w:styleId="Rimandocommento">
    <w:name w:val="annotation reference"/>
    <w:basedOn w:val="Carpredefinitoparagrafo"/>
    <w:uiPriority w:val="99"/>
    <w:semiHidden/>
    <w:unhideWhenUsed/>
    <w:rsid w:val="00B609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09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09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09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09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BIAVA</dc:creator>
  <cp:keywords/>
  <dc:description/>
  <cp:lastModifiedBy>Andrea BIAVA</cp:lastModifiedBy>
  <cp:revision>2</cp:revision>
  <dcterms:created xsi:type="dcterms:W3CDTF">2022-11-28T08:20:00Z</dcterms:created>
  <dcterms:modified xsi:type="dcterms:W3CDTF">2022-11-28T08:20:00Z</dcterms:modified>
</cp:coreProperties>
</file>